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 TownSquare – Audience, Brand &amp; Commercial Strategy Review</w:t>
      </w:r>
    </w:p>
    <w:p>
      <w:pPr>
        <w:pStyle w:val="Heading2"/>
      </w:pPr>
      <w:r>
        <w:t>Executive Summary</w:t>
      </w:r>
    </w:p>
    <w:p>
      <w:r>
        <w:t>This document provides strategic feedback and recommendations on how AI TownSquare can build a strong audience, credible brand, and sustainable commercial model, starting with Dubai and scaling globally. The focus is on community-building, partnerships, sponsorship, and repeatable success across locations.</w:t>
      </w:r>
    </w:p>
    <w:p>
      <w:pPr>
        <w:pStyle w:val="Heading2"/>
      </w:pPr>
      <w:r>
        <w:t>Strategic Positioning</w:t>
      </w:r>
    </w:p>
    <w:p>
      <w:r>
        <w:t>AI TownSquare should be positioned as a premium civic intelligence platform rather than an event series. Its value lies in trust, insight, and cross-sector dialogue, not scale alone. Scarcity, curation, and ethical grounding are core differentiators.</w:t>
      </w:r>
    </w:p>
    <w:p>
      <w:pPr>
        <w:pStyle w:val="Heading2"/>
      </w:pPr>
      <w:r>
        <w:t>Audience Building Strategy</w:t>
      </w:r>
    </w:p>
    <w:p>
      <w:r>
        <w:t>Primary audiences include senior decision-makers, policymakers, regulators, enterprise leaders, and institutional stakeholders. Growth should focus on invitation-led participation, ambassador hosts, and partnerships with trusted local institutions. Each participant becomes part of an ongoing community through follow-up briefs, private channels, and future invitations.</w:t>
      </w:r>
    </w:p>
    <w:p>
      <w:pPr>
        <w:pStyle w:val="Heading2"/>
      </w:pPr>
      <w:r>
        <w:t>Community &amp; Engagement Model</w:t>
      </w:r>
    </w:p>
    <w:p>
      <w:r>
        <w:t>Community is built through continuity. Participants should be invited into an ongoing network with access to Civic Insight Briefs, private roundtables, and digital follow-ups. A lightweight membership or alumni model can encourage repeat engagement and peer connection.</w:t>
      </w:r>
    </w:p>
    <w:p>
      <w:pPr>
        <w:pStyle w:val="Heading2"/>
      </w:pPr>
      <w:r>
        <w:t>Brand Development</w:t>
      </w:r>
    </w:p>
    <w:p>
      <w:r>
        <w:t>The brand should emphasise neutrality, credibility, and civic responsibility. Visual identity, tone of voice, and messaging should remain consistent globally, while local hosts provide cultural relevance. Dubai should be positioned as a global convening hub for AI readiness dialogue.</w:t>
      </w:r>
    </w:p>
    <w:p>
      <w:pPr>
        <w:pStyle w:val="Heading2"/>
      </w:pPr>
      <w:r>
        <w:t>Commercial &amp; Revenue Opportunities</w:t>
      </w:r>
    </w:p>
    <w:p>
      <w:r>
        <w:t>Revenue should be diversified across sponsorship, institutional partnerships, paid hosting rights, and private briefings. The Civic Insight Brief is a valuable commercial asset that can be licensed or sponsored.</w:t>
      </w:r>
    </w:p>
    <w:p>
      <w:pPr>
        <w:pStyle w:val="Heading2"/>
      </w:pPr>
      <w:r>
        <w:t>Sponsorship &amp; Partnership Recommendations</w:t>
      </w:r>
    </w:p>
    <w:p>
      <w:r>
        <w:t>Ideal partners include global consultancies, cloud and AI infrastructure providers, professional services firms, universities, sovereign innovation bodies, and ethical AI organisations. Sponsors should support the platform rather than control the narrative, maintaining trust.</w:t>
      </w:r>
    </w:p>
    <w:p>
      <w:pPr>
        <w:pStyle w:val="Heading2"/>
      </w:pPr>
      <w:r>
        <w:t>Dubai-Specific Opportunities</w:t>
      </w:r>
    </w:p>
    <w:p>
      <w:r>
        <w:t>Dubai offers access to government innovation entities, free zones, global enterprises, and sovereign investment bodies. Partnerships with DIFC, Dubai Future Foundation, universities, and innovation hubs would accelerate credibility and reach.</w:t>
      </w:r>
    </w:p>
    <w:p>
      <w:pPr>
        <w:pStyle w:val="Heading2"/>
      </w:pPr>
      <w:r>
        <w:t>Scalability &amp; Multi-Location Rollout</w:t>
      </w:r>
    </w:p>
    <w:p>
      <w:r>
        <w:t>The protocol-first model allows easy replication. A certified host programme, city partnerships, and a global calendar will enable consistent quality while expanding reach. Each city feeds insight into a global intelligence loop.</w:t>
      </w:r>
    </w:p>
    <w:p>
      <w:pPr>
        <w:pStyle w:val="Heading2"/>
      </w:pPr>
      <w:r>
        <w:t>Success Metrics</w:t>
      </w:r>
    </w:p>
    <w:p>
      <w:r>
        <w:t>Success should be measured by repeat participation, sponsor retention, institutional adoption of insights, media citations, and geographic expansion rather than attendance volume alone.</w:t>
      </w:r>
    </w:p>
    <w:p>
      <w:pPr>
        <w:pStyle w:val="Heading2"/>
      </w:pPr>
      <w:r>
        <w:t>Final Recommendations</w:t>
      </w:r>
    </w:p>
    <w:p>
      <w:r>
        <w:t>Protect the integrity of the protocol, prioritise trust over scale, invest early in partnerships, and position AI TownSquare as essential civic infrastructure for the AI era.</w:t>
      </w:r>
    </w:p>
    <w:p>
      <w:pPr>
        <w:pStyle w:val="Heading2"/>
      </w:pPr>
      <w:r>
        <w:t>Practical Next Steps &amp; Execution Plan</w:t>
      </w:r>
    </w:p>
    <w:p>
      <w:pPr>
        <w:pStyle w:val="Heading3"/>
      </w:pPr>
      <w:r>
        <w:t>1. Define the Ideal Participant Profile</w:t>
      </w:r>
    </w:p>
    <w:p>
      <w:r>
        <w:t>Create a clear participant framework covering sectors (government, enterprise, finance, healthcare, education, tech), seniority (C-suite, VP, Director, Policy Lead), and mindset (open, ethical, systems-level thinkers). Each organisation should ideally be represented by one senior decision-maker to maintain balance and avoid dominance.</w:t>
      </w:r>
    </w:p>
    <w:p>
      <w:pPr>
        <w:pStyle w:val="Heading3"/>
      </w:pPr>
      <w:r>
        <w:t>2. Curated Outreach &amp; Invitation Process</w:t>
      </w:r>
    </w:p>
    <w:p>
      <w:r>
        <w:t>Build a target list of priority organisations in Dubai and the wider region. Outreach should be personal and invitation-led, positioning participation as a contribution, not attendance. Leverage hosts, advisors, and partners to make warm introductions wherever possible.</w:t>
      </w:r>
    </w:p>
    <w:p>
      <w:pPr>
        <w:pStyle w:val="Heading3"/>
      </w:pPr>
      <w:r>
        <w:t>3. VIP &amp; Anchor Participant Selection</w:t>
      </w:r>
    </w:p>
    <w:p>
      <w:r>
        <w:t>Secure 5–7 anchor participants (VIPs) per session who bring credibility and pull. These may include senior government figures, respected academics, enterprise leaders, or innovation heads. Their early confirmation helps attract wider participation.</w:t>
      </w:r>
    </w:p>
    <w:p>
      <w:pPr>
        <w:pStyle w:val="Heading3"/>
      </w:pPr>
      <w:r>
        <w:t>4. Partner &amp; Sponsor Engagement</w:t>
      </w:r>
    </w:p>
    <w:p>
      <w:r>
        <w:t>Develop a short partnership prospectus outlining the mission, format, audience quality, and post-event outputs. Approach aligned partners to underwrite the session in exchange for brand association, insight access, and visibility—without content control.</w:t>
      </w:r>
    </w:p>
    <w:p>
      <w:pPr>
        <w:pStyle w:val="Heading3"/>
      </w:pPr>
      <w:r>
        <w:t>5. Host &amp; Moderator Preparation</w:t>
      </w:r>
    </w:p>
    <w:p>
      <w:r>
        <w:t>Ensure hosts are fully briefed and trained on the 7-phase protocol. Run a rehearsal or walkthrough to maintain consistency and quality. Hosts are critical to trust, flow, and insight capture.</w:t>
      </w:r>
    </w:p>
    <w:p>
      <w:pPr>
        <w:pStyle w:val="Heading3"/>
      </w:pPr>
      <w:r>
        <w:t>6. Community Follow-Up &amp; Retention</w:t>
      </w:r>
    </w:p>
    <w:p>
      <w:r>
        <w:t>Within 48 hours, distribute the Civic Insight Brief to all participants. Invite them into a private community channel or mailing list. Share upcoming locations, themes, and opportunities to re-engage as hosts, advisors, or ambassadors.</w:t>
      </w:r>
    </w:p>
    <w:p>
      <w:pPr>
        <w:pStyle w:val="Heading3"/>
      </w:pPr>
      <w:r>
        <w:t>7. Content &amp; Brand Amplification</w:t>
      </w:r>
    </w:p>
    <w:p>
      <w:r>
        <w:t>Extract anonymised insights, themes, and quotes for LinkedIn, partner newsletters, and earned media. Position AI TownSquare as an ongoing civic platform rather than a one-off event.</w:t>
      </w:r>
    </w:p>
    <w:p>
      <w:pPr>
        <w:pStyle w:val="Heading3"/>
      </w:pPr>
      <w:r>
        <w:t>8. Measure, Refine, Repeat</w:t>
      </w:r>
    </w:p>
    <w:p>
      <w:r>
        <w:t>Track participation quality, repeat attendance, partner interest, and downstream conversations. Use feedback to refine prompts, topics, and partner mix before scaling to the next city.</w:t>
      </w:r>
    </w:p>
    <w:p>
      <w:pPr>
        <w:pStyle w:val="Heading3"/>
      </w:pPr>
      <w:r>
        <w:t>9. Scale to Multiple Locations</w:t>
      </w:r>
    </w:p>
    <w:p>
      <w:r>
        <w:t>Identify 3–5 priority cities after Dubai. Recruit certified local hosts, secure anchor partners, and replicate the same protocol and brand standards to maintain global consistency.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