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drawing>
          <wp:inline distT="0" distB="0" distL="0" distR="0">
            <wp:extent cx="1428750" cy="1247775"/>
            <wp:effectExtent t="0" r="0" b="0" l="0"/>
            <wp:docPr id="1" name="Kleim logo" descr="Kleim logo" title="Kle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47775"/>
                    </a:xfrm>
                    <a:prstGeom prst="rect">
                      <a:avLst/>
                    </a:prstGeom>
                  </pic:spPr>
                </pic:pic>
              </a:graphicData>
            </a:graphic>
          </wp:inline>
        </w:drawing>
      </w:r>
    </w:p>
    <w:p>
      <w:pPr>
        <w:jc w:val="center"/>
      </w:pPr>
      <w:r>
        <w:rPr>
          <w:b/>
          <w:bCs/>
          <w:color w:val="0D1A33"/>
          <w:sz w:val="48"/>
          <w:szCs w:val="48"/>
        </w:rPr>
        <w:t xml:space="preserve">Kleim</w:t>
      </w:r>
    </w:p>
    <w:p>
      <w:pPr>
        <w:spacing w:before="120"/>
        <w:jc w:val="center"/>
      </w:pPr>
      <w:r>
        <w:rPr>
          <w:b/>
          <w:bCs/>
          <w:color w:val="555555"/>
          <w:sz w:val="24"/>
          <w:szCs w:val="24"/>
        </w:rPr>
        <w:t xml:space="preserve">ARCHITECTURE DECISION RECORDS</w:t>
      </w:r>
    </w:p>
    <w:p>
      <w:pPr>
        <w:spacing w:before="200"/>
        <w:jc w:val="center"/>
      </w:pPr>
      <w:r>
        <w:rPr>
          <w:b/>
          <w:bCs/>
          <w:sz w:val="44"/>
          <w:szCs w:val="44"/>
        </w:rPr>
        <w:t xml:space="preserve">Architecture Decision Records</w:t>
      </w:r>
    </w:p>
    <w:p>
      <w:pPr>
        <w:spacing w:after="500" w:before="200"/>
        <w:jc w:val="center"/>
      </w:pPr>
      <w:r>
        <w:rPr>
          <w:i/>
          <w:iCs/>
          <w:sz w:val="24"/>
          <w:szCs w:val="24"/>
        </w:rPr>
        <w:t xml:space="preserve">The key technical decisions behind the platform, with context and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77"/>
        <w:gridCol w:w="6983"/>
      </w:tblGrid>
      <w:tr>
        <w:trPr>
          <w:tblHeader/>
        </w:trPr>
        <w:tc>
          <w:tcPr>
            <w:tcW w:type="dxa" w:w="237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Field</w:t>
            </w:r>
          </w:p>
        </w:tc>
        <w:tc>
          <w:tcPr>
            <w:tcW w:type="dxa" w:w="698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Value</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Product</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Kleim — fashion delivery and discovery platform</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Version</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1.0</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Status</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Draft for team review</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Parent documents</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SDD v1.1; Implementation Plan v1.0</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Owner</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[Team lead name]</w:t>
            </w:r>
          </w:p>
        </w:tc>
      </w:tr>
    </w:tbl>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About these records</w:t>
      </w:r>
    </w:p>
    <w:p>
      <w:pPr>
        <w:keepNext w:val="false"/>
        <w:spacing w:after="120" w:before="0"/>
      </w:pPr>
      <w:r>
        <w:t xml:space="preserve">An Architecture Decision Record (ADR) captures one significant technical decision: the situation, the choice, what it costs and what else was considered. These records explain why Kleim’s SDD v1.1 design looks the way it does, so new team members and reviewers do not reopen settled questions without new information.</w:t>
      </w:r>
    </w:p>
    <w:p>
      <w:pPr>
        <w:keepNext w:val="false"/>
        <w:spacing w:after="120" w:before="0"/>
      </w:pPr>
      <w:r>
        <w:t xml:space="preserve">Each ADR is also a separate Markdown file in </w:t>
      </w:r>
      <w:r>
        <w:rPr>
          <w:rFonts w:ascii="Consolas" w:cs="Consolas" w:eastAsia="Consolas" w:hAnsi="Consolas"/>
          <w:color w:val="0A3A9E"/>
          <w:sz w:val="19"/>
          <w:szCs w:val="19"/>
        </w:rPr>
        <w:t xml:space="preserve">docs/adr/</w:t>
      </w:r>
      <w:r>
        <w:t xml:space="preserve"> in the repository. The Word compilation and the repository files must match; the repository copy is the working version.</w:t>
      </w:r>
    </w:p>
    <w:p>
      <w:pPr>
        <w:pStyle w:val="Heading2"/>
      </w:pPr>
      <w:r>
        <w:t xml:space="preserve">How to use them</w:t>
      </w:r>
    </w:p>
    <w:p>
      <w:pPr>
        <w:pStyle w:val="ListParagraph"/>
        <w:numPr>
          <w:ilvl w:val="0"/>
          <w:numId w:val="2"/>
        </w:numPr>
        <w:spacing w:after="50"/>
      </w:pPr>
      <w:r>
        <w:t xml:space="preserve">Before changing anything an ADR covers, read it and write a new ADR that supersedes it; never edit an accepted decision silently.</w:t>
      </w:r>
    </w:p>
    <w:p>
      <w:pPr>
        <w:pStyle w:val="ListParagraph"/>
        <w:numPr>
          <w:ilvl w:val="0"/>
          <w:numId w:val="2"/>
        </w:numPr>
        <w:spacing w:after="50"/>
      </w:pPr>
      <w:r>
        <w:t xml:space="preserve">Proposed ADRs list the evidence needed and the week by which a decision is due (Implementation Plan Appendix C).</w:t>
      </w:r>
    </w:p>
    <w:p>
      <w:pPr>
        <w:pStyle w:val="ListParagraph"/>
        <w:numPr>
          <w:ilvl w:val="0"/>
          <w:numId w:val="2"/>
        </w:numPr>
        <w:spacing w:after="50"/>
      </w:pPr>
      <w:r>
        <w:t xml:space="preserve">Numbering is sequential and never reused; ADR-000 is the template.</w:t>
      </w:r>
    </w:p>
    <w:p>
      <w:pPr>
        <w:pStyle w:val="Heading2"/>
      </w:pPr>
      <w: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5"/>
        <w:gridCol w:w="5745"/>
        <w:gridCol w:w="2820"/>
      </w:tblGrid>
      <w:tr>
        <w:trPr>
          <w:tblHeader/>
        </w:trPr>
        <w:tc>
          <w:tcPr>
            <w:tcW w:type="dxa" w:w="795"/>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ADR</w:t>
            </w:r>
          </w:p>
        </w:tc>
        <w:tc>
          <w:tcPr>
            <w:tcW w:type="dxa" w:w="5745"/>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Decision</w:t>
            </w:r>
          </w:p>
        </w:tc>
        <w:tc>
          <w:tcPr>
            <w:tcW w:type="dxa" w:w="2820"/>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Status</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ADR-001</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Build a modular monolith, not microservices</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Accepted</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ADR-002</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Store all money as integer Uganda shillings</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Accepted</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ADR-003</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First payment aggregator for mobile money</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Proposed (decide by week 8)</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ADR-004</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Phone number with SMS one-time code as primary identity</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Accepted</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ADR-005</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One store per cart and per order in the MVP</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Accepted</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ADR-006</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Request mobile-money payment only after the seller accepts</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Accepted</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ADR-007</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Double-entry ledger for all money movements</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Accepted</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ADR-008</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PostgreSQL with PostGIS and pg_trgm for geo and search</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Accepted</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ADR-009</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Server-Sent Events for timelines, WebSocket for riders</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Accepted</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ADR-010</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Rider app as a progressive web app first</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Accepted</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ADR-011</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Maps and geocoding provider</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Proposed (decide by week 2)</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ADR-012</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Pickup, drop-off and return confirmation codes</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Accepted</w:t>
            </w:r>
          </w:p>
        </w:tc>
      </w:tr>
      <w:tr>
        <w:trPr>
          <w:cantSplit/>
        </w:trPr>
        <w:tc>
          <w:tcPr>
            <w:tcW w:type="dxa" w:w="7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ADR-013</w:t>
            </w:r>
          </w:p>
        </w:tc>
        <w:tc>
          <w:tcPr>
            <w:tcW w:type="dxa" w:w="574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Kleim brand identity: blue and pink theme from the logo</w:t>
            </w:r>
          </w:p>
        </w:tc>
        <w:tc>
          <w:tcPr>
            <w:tcW w:type="dxa" w:w="28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Accepted</w:t>
            </w:r>
          </w:p>
        </w:tc>
      </w:tr>
    </w:tbl>
    <w:p>
      <w:pPr>
        <w:spacing w:after="100"/>
      </w:pPr>
    </w:p>
    <w:p>
      <w:pPr>
        <w:pStyle w:val="Heading1"/>
        <w:pageBreakBefore/>
      </w:pPr>
      <w:r>
        <w:t xml:space="preserve">ADR-001: Build a modular monolith, not microservices</w:t>
      </w:r>
    </w:p>
    <w:p>
      <w:pPr>
        <w:pStyle w:val="ListParagraph"/>
        <w:numPr>
          <w:ilvl w:val="0"/>
          <w:numId w:val="3"/>
        </w:numPr>
        <w:spacing w:after="50"/>
      </w:pPr>
      <w:r>
        <w:rPr>
          <w:b/>
          <w:bCs/>
        </w:rPr>
        <w:t xml:space="preserve">Status:</w:t>
      </w:r>
      <w:r>
        <w:t xml:space="preserve"> Accepted</w:t>
      </w:r>
    </w:p>
    <w:p>
      <w:pPr>
        <w:pStyle w:val="ListParagraph"/>
        <w:numPr>
          <w:ilvl w:val="0"/>
          <w:numId w:val="3"/>
        </w:numPr>
        <w:spacing w:after="50"/>
      </w:pPr>
      <w:r>
        <w:rPr>
          <w:b/>
          <w:bCs/>
        </w:rPr>
        <w:t xml:space="preserve">Date:</w:t>
      </w:r>
      <w:r>
        <w:t xml:space="preserve"> [project start]</w:t>
      </w:r>
    </w:p>
    <w:p>
      <w:pPr>
        <w:pStyle w:val="ListParagraph"/>
        <w:numPr>
          <w:ilvl w:val="0"/>
          <w:numId w:val="3"/>
        </w:numPr>
        <w:spacing w:after="50"/>
      </w:pPr>
      <w:r>
        <w:rPr>
          <w:b/>
          <w:bCs/>
        </w:rPr>
        <w:t xml:space="preserve">Related:</w:t>
      </w:r>
      <w:r>
        <w:t xml:space="preserve"> SDD §8, §10, §30; Implementation Plan M0</w:t>
      </w:r>
    </w:p>
    <w:p>
      <w:pPr>
        <w:pStyle w:val="Heading2"/>
      </w:pPr>
      <w:r>
        <w:t xml:space="preserve">Context</w:t>
      </w:r>
    </w:p>
    <w:p>
      <w:pPr>
        <w:keepNext w:val="false"/>
        <w:spacing w:after="120" w:before="0"/>
      </w:pPr>
      <w:r>
        <w:t xml:space="preserve">The platform has many domains (catalogue, orders, payments, delivery, ledger), but the team is 4–5 part-time students with one semester. Orders, stock and payments must change together consistently. Operating many services would consume time the team does not have.</w:t>
      </w:r>
    </w:p>
    <w:p>
      <w:pPr>
        <w:pStyle w:val="Heading2"/>
      </w:pPr>
      <w:r>
        <w:t xml:space="preserve">Decision</w:t>
      </w:r>
    </w:p>
    <w:p>
      <w:pPr>
        <w:keepNext w:val="false"/>
        <w:spacing w:after="120" w:before="0"/>
      </w:pPr>
      <w:r>
        <w:t xml:space="preserve">Build one FastAPI application and one worker process from a single codebase, split into modules under </w:t>
      </w:r>
      <w:r>
        <w:rPr>
          <w:rFonts w:ascii="Consolas" w:cs="Consolas" w:eastAsia="Consolas" w:hAnsi="Consolas"/>
          <w:color w:val="0A3A9E"/>
          <w:sz w:val="19"/>
          <w:szCs w:val="19"/>
        </w:rPr>
        <w:t xml:space="preserve">backend/app/&lt;module&gt;/</w:t>
      </w:r>
      <w:r>
        <w:t xml:space="preserve">. Modules talk only through service functions and domain events, never through each other’s tables.</w:t>
      </w:r>
    </w:p>
    <w:p>
      <w:pPr>
        <w:pStyle w:val="Heading2"/>
      </w:pPr>
      <w:r>
        <w:t xml:space="preserve">Consequences</w:t>
      </w:r>
    </w:p>
    <w:p>
      <w:pPr>
        <w:pStyle w:val="ListParagraph"/>
        <w:numPr>
          <w:ilvl w:val="0"/>
          <w:numId w:val="3"/>
        </w:numPr>
        <w:spacing w:after="50"/>
      </w:pPr>
      <w:r>
        <w:t xml:space="preserve">Positive: one deployment, one database transaction for order + stock, simple local setup, easy debugging.</w:t>
      </w:r>
    </w:p>
    <w:p>
      <w:pPr>
        <w:pStyle w:val="ListParagraph"/>
        <w:numPr>
          <w:ilvl w:val="0"/>
          <w:numId w:val="3"/>
        </w:numPr>
        <w:spacing w:after="50"/>
      </w:pPr>
      <w:r>
        <w:t xml:space="preserve">Positive: clear module boundaries keep the option to extract a service later (for example notifications or tracking).</w:t>
      </w:r>
    </w:p>
    <w:p>
      <w:pPr>
        <w:pStyle w:val="ListParagraph"/>
        <w:numPr>
          <w:ilvl w:val="0"/>
          <w:numId w:val="3"/>
        </w:numPr>
        <w:spacing w:after="50"/>
      </w:pPr>
      <w:r>
        <w:t xml:space="preserve">Negative: one bad deployment affects everything; mitigated by CI, staging and quick rollback.</w:t>
      </w:r>
    </w:p>
    <w:p>
      <w:pPr>
        <w:pStyle w:val="ListParagraph"/>
        <w:numPr>
          <w:ilvl w:val="0"/>
          <w:numId w:val="3"/>
        </w:numPr>
        <w:spacing w:after="50"/>
      </w:pPr>
      <w:r>
        <w:t xml:space="preserve">Follow-up: an import-linter rule in CI blocks cross-module imports of </w:t>
      </w:r>
      <w:r>
        <w:rPr>
          <w:rFonts w:ascii="Consolas" w:cs="Consolas" w:eastAsia="Consolas" w:hAnsi="Consolas"/>
          <w:color w:val="0A3A9E"/>
          <w:sz w:val="19"/>
          <w:szCs w:val="19"/>
        </w:rPr>
        <w:t xml:space="preserve">models.py</w:t>
      </w:r>
      <w:r>
        <w:t xml:space="preserve"> and </w:t>
      </w:r>
      <w:r>
        <w:rPr>
          <w:rFonts w:ascii="Consolas" w:cs="Consolas" w:eastAsia="Consolas" w:hAnsi="Consolas"/>
          <w:color w:val="0A3A9E"/>
          <w:sz w:val="19"/>
          <w:szCs w:val="19"/>
        </w:rPr>
        <w:t xml:space="preserve">repository.py</w:t>
      </w:r>
      <w:r>
        <w:t xml:space="preserve">.</w:t>
      </w:r>
    </w:p>
    <w:p>
      <w:pPr>
        <w:pStyle w:val="Heading2"/>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4"/>
        <w:gridCol w:w="6516"/>
      </w:tblGrid>
      <w:tr>
        <w:trPr>
          <w:tblHeader/>
        </w:trPr>
        <w:tc>
          <w:tcPr>
            <w:tcW w:type="dxa" w:w="2844"/>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6516"/>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Why not chosen</w:t>
            </w:r>
          </w:p>
        </w:tc>
      </w:tr>
      <w:tr>
        <w:trPr>
          <w:cantSplit/>
        </w:trPr>
        <w:tc>
          <w:tcPr>
            <w:tcW w:type="dxa" w:w="284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Microservices per domain</w:t>
            </w:r>
          </w:p>
        </w:tc>
        <w:tc>
          <w:tcPr>
            <w:tcW w:type="dxa" w:w="651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Distributed transactions for stock and payment; heavy DevOps load; slower delivery</w:t>
            </w:r>
          </w:p>
        </w:tc>
      </w:tr>
      <w:tr>
        <w:trPr>
          <w:cantSplit/>
        </w:trPr>
        <w:tc>
          <w:tcPr>
            <w:tcW w:type="dxa" w:w="284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Unstructured monolith</w:t>
            </w:r>
          </w:p>
        </w:tc>
        <w:tc>
          <w:tcPr>
            <w:tcW w:type="dxa" w:w="651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Fast at first, but modules would tangle and block later extraction</w:t>
            </w:r>
          </w:p>
        </w:tc>
      </w:tr>
    </w:tbl>
    <w:p>
      <w:pPr>
        <w:spacing w:after="100"/>
      </w:pPr>
    </w:p>
    <w:p>
      <w:pPr>
        <w:pStyle w:val="Heading1"/>
        <w:pageBreakBefore/>
      </w:pPr>
      <w:r>
        <w:t xml:space="preserve">ADR-002: Store all money as integer Uganda shillings</w:t>
      </w:r>
    </w:p>
    <w:p>
      <w:pPr>
        <w:pStyle w:val="ListParagraph"/>
        <w:numPr>
          <w:ilvl w:val="0"/>
          <w:numId w:val="3"/>
        </w:numPr>
        <w:spacing w:after="50"/>
      </w:pPr>
      <w:r>
        <w:rPr>
          <w:b/>
          <w:bCs/>
        </w:rPr>
        <w:t xml:space="preserve">Status:</w:t>
      </w:r>
      <w:r>
        <w:t xml:space="preserve"> Accepted</w:t>
      </w:r>
    </w:p>
    <w:p>
      <w:pPr>
        <w:pStyle w:val="ListParagraph"/>
        <w:numPr>
          <w:ilvl w:val="0"/>
          <w:numId w:val="3"/>
        </w:numPr>
        <w:spacing w:after="50"/>
      </w:pPr>
      <w:r>
        <w:rPr>
          <w:b/>
          <w:bCs/>
        </w:rPr>
        <w:t xml:space="preserve">Date:</w:t>
      </w:r>
      <w:r>
        <w:t xml:space="preserve"> [project start]</w:t>
      </w:r>
    </w:p>
    <w:p>
      <w:pPr>
        <w:pStyle w:val="ListParagraph"/>
        <w:numPr>
          <w:ilvl w:val="0"/>
          <w:numId w:val="3"/>
        </w:numPr>
        <w:spacing w:after="50"/>
      </w:pPr>
      <w:r>
        <w:rPr>
          <w:b/>
          <w:bCs/>
        </w:rPr>
        <w:t xml:space="preserve">Related:</w:t>
      </w:r>
      <w:r>
        <w:t xml:space="preserve"> SDD §4, §11.1; Database Design §2.3</w:t>
      </w:r>
    </w:p>
    <w:p>
      <w:pPr>
        <w:pStyle w:val="Heading2"/>
      </w:pPr>
      <w:r>
        <w:t xml:space="preserve">Context</w:t>
      </w:r>
    </w:p>
    <w:p>
      <w:pPr>
        <w:keepNext w:val="false"/>
        <w:spacing w:after="120" w:before="0"/>
      </w:pPr>
      <w:r>
        <w:t xml:space="preserve">UGX has no minor unit in everyday use. Floating-point money causes rounding errors, and the ledger must reconcile to the shilling.</w:t>
      </w:r>
    </w:p>
    <w:p>
      <w:pPr>
        <w:pStyle w:val="Heading2"/>
      </w:pPr>
      <w:r>
        <w:t xml:space="preserve">Decision</w:t>
      </w:r>
    </w:p>
    <w:p>
      <w:pPr>
        <w:keepNext w:val="false"/>
        <w:spacing w:after="120" w:before="0"/>
      </w:pPr>
      <w:r>
        <w:t xml:space="preserve">Every monetary column is </w:t>
      </w:r>
      <w:r>
        <w:rPr>
          <w:rFonts w:ascii="Consolas" w:cs="Consolas" w:eastAsia="Consolas" w:hAnsi="Consolas"/>
          <w:color w:val="0A3A9E"/>
          <w:sz w:val="19"/>
          <w:szCs w:val="19"/>
        </w:rPr>
        <w:t xml:space="preserve">integer</w:t>
      </w:r>
      <w:r>
        <w:t xml:space="preserve"> UGX. The API sends and receives integers. Only the pricing service performs arithmetic, and percentages (commission, discounts) are rounded half up to the nearest shilling at a single, tested point.</w:t>
      </w:r>
    </w:p>
    <w:p>
      <w:pPr>
        <w:pStyle w:val="Heading2"/>
      </w:pPr>
      <w:r>
        <w:t xml:space="preserve">Consequences</w:t>
      </w:r>
    </w:p>
    <w:p>
      <w:pPr>
        <w:pStyle w:val="ListParagraph"/>
        <w:numPr>
          <w:ilvl w:val="0"/>
          <w:numId w:val="3"/>
        </w:numPr>
        <w:spacing w:after="50"/>
      </w:pPr>
      <w:r>
        <w:t xml:space="preserve">Positive: exact sums, simple ledger checks, no currency-library dependency.</w:t>
      </w:r>
    </w:p>
    <w:p>
      <w:pPr>
        <w:pStyle w:val="ListParagraph"/>
        <w:numPr>
          <w:ilvl w:val="0"/>
          <w:numId w:val="3"/>
        </w:numPr>
        <w:spacing w:after="50"/>
      </w:pPr>
      <w:r>
        <w:t xml:space="preserve">Negative: supporting another currency later needs a </w:t>
      </w:r>
      <w:r>
        <w:rPr>
          <w:rFonts w:ascii="Consolas" w:cs="Consolas" w:eastAsia="Consolas" w:hAnsi="Consolas"/>
          <w:color w:val="0A3A9E"/>
          <w:sz w:val="19"/>
          <w:szCs w:val="19"/>
        </w:rPr>
        <w:t xml:space="preserve">currency</w:t>
      </w:r>
      <w:r>
        <w:t xml:space="preserve"> column and conversion rules (already present on </w:t>
      </w:r>
      <w:r>
        <w:rPr>
          <w:rFonts w:ascii="Consolas" w:cs="Consolas" w:eastAsia="Consolas" w:hAnsi="Consolas"/>
          <w:color w:val="0A3A9E"/>
          <w:sz w:val="19"/>
          <w:szCs w:val="19"/>
        </w:rPr>
        <w:t xml:space="preserve">ledger_accounts</w:t>
      </w:r>
      <w:r>
        <w:t xml:space="preserve">).</w:t>
      </w:r>
    </w:p>
    <w:p>
      <w:pPr>
        <w:pStyle w:val="ListParagraph"/>
        <w:numPr>
          <w:ilvl w:val="0"/>
          <w:numId w:val="3"/>
        </w:numPr>
        <w:spacing w:after="50"/>
      </w:pPr>
      <w:r>
        <w:t xml:space="preserve">Follow-up: lint rule forbids </w:t>
      </w:r>
      <w:r>
        <w:rPr>
          <w:rFonts w:ascii="Consolas" w:cs="Consolas" w:eastAsia="Consolas" w:hAnsi="Consolas"/>
          <w:color w:val="0A3A9E"/>
          <w:sz w:val="19"/>
          <w:szCs w:val="19"/>
        </w:rPr>
        <w:t xml:space="preserve">float</w:t>
      </w:r>
      <w:r>
        <w:t xml:space="preserve"> in pricing and ledger modules.</w:t>
      </w:r>
    </w:p>
    <w:p>
      <w:pPr>
        <w:pStyle w:val="Heading2"/>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6"/>
        <w:gridCol w:w="7354"/>
      </w:tblGrid>
      <w:tr>
        <w:trPr>
          <w:tblHeader/>
        </w:trPr>
        <w:tc>
          <w:tcPr>
            <w:tcW w:type="dxa" w:w="2006"/>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7354"/>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Why not chosen</w:t>
            </w:r>
          </w:p>
        </w:tc>
      </w:tr>
      <w:tr>
        <w:trPr>
          <w:cantSplit/>
        </w:trPr>
        <w:tc>
          <w:tcPr>
            <w:tcW w:type="dxa" w:w="200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Consolas" w:cs="Consolas" w:eastAsia="Consolas" w:hAnsi="Consolas"/>
                <w:color w:val="0A3A9E"/>
                <w:sz w:val="16"/>
                <w:szCs w:val="16"/>
              </w:rPr>
              <w:t xml:space="preserve">numeric(12,2)</w:t>
            </w:r>
          </w:p>
        </w:tc>
        <w:tc>
          <w:tcPr>
            <w:tcW w:type="dxa" w:w="73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Implies cents that do not exist in UGX; more room for inconsistent rounding</w:t>
            </w:r>
          </w:p>
        </w:tc>
      </w:tr>
      <w:tr>
        <w:trPr>
          <w:cantSplit/>
        </w:trPr>
        <w:tc>
          <w:tcPr>
            <w:tcW w:type="dxa" w:w="200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Floats</w:t>
            </w:r>
          </w:p>
        </w:tc>
        <w:tc>
          <w:tcPr>
            <w:tcW w:type="dxa" w:w="73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Rounding errors; unacceptable for money</w:t>
            </w:r>
          </w:p>
        </w:tc>
      </w:tr>
    </w:tbl>
    <w:p>
      <w:pPr>
        <w:spacing w:after="100"/>
      </w:pPr>
    </w:p>
    <w:p>
      <w:pPr>
        <w:pStyle w:val="Heading1"/>
        <w:pageBreakBefore/>
      </w:pPr>
      <w:r>
        <w:t xml:space="preserve">ADR-003: First payment aggregator for mobile money</w:t>
      </w:r>
    </w:p>
    <w:p>
      <w:pPr>
        <w:pStyle w:val="ListParagraph"/>
        <w:numPr>
          <w:ilvl w:val="0"/>
          <w:numId w:val="3"/>
        </w:numPr>
        <w:spacing w:after="50"/>
      </w:pPr>
      <w:r>
        <w:rPr>
          <w:b/>
          <w:bCs/>
        </w:rPr>
        <w:t xml:space="preserve">Status:</w:t>
      </w:r>
      <w:r>
        <w:t xml:space="preserve"> Proposed (decide by week 8)</w:t>
      </w:r>
    </w:p>
    <w:p>
      <w:pPr>
        <w:pStyle w:val="ListParagraph"/>
        <w:numPr>
          <w:ilvl w:val="0"/>
          <w:numId w:val="3"/>
        </w:numPr>
        <w:spacing w:after="50"/>
      </w:pPr>
      <w:r>
        <w:rPr>
          <w:b/>
          <w:bCs/>
        </w:rPr>
        <w:t xml:space="preserve">Date:</w:t>
      </w:r>
      <w:r>
        <w:t xml:space="preserve"> [date]</w:t>
      </w:r>
    </w:p>
    <w:p>
      <w:pPr>
        <w:pStyle w:val="ListParagraph"/>
        <w:numPr>
          <w:ilvl w:val="0"/>
          <w:numId w:val="3"/>
        </w:numPr>
        <w:spacing w:after="50"/>
      </w:pPr>
      <w:r>
        <w:rPr>
          <w:b/>
          <w:bCs/>
        </w:rPr>
        <w:t xml:space="preserve">Related:</w:t>
      </w:r>
      <w:r>
        <w:t xml:space="preserve"> SDD §13; Implementation Plan M6, M12; Open Decision 5</w:t>
      </w:r>
    </w:p>
    <w:p>
      <w:pPr>
        <w:pStyle w:val="Heading2"/>
      </w:pPr>
      <w:r>
        <w:t xml:space="preserve">Context</w:t>
      </w:r>
    </w:p>
    <w:p>
      <w:pPr>
        <w:keepNext w:val="false"/>
        <w:spacing w:after="120" w:before="0"/>
      </w:pPr>
      <w:r>
        <w:t xml:space="preserve">Customers pay by MTN Mobile Money and Airtel Money; cash on delivery remains available. The MVP uses a simulated provider behind the </w:t>
      </w:r>
      <w:r>
        <w:rPr>
          <w:rFonts w:ascii="Consolas" w:cs="Consolas" w:eastAsia="Consolas" w:hAnsi="Consolas"/>
          <w:color w:val="0A3A9E"/>
          <w:sz w:val="19"/>
          <w:szCs w:val="19"/>
        </w:rPr>
        <w:t xml:space="preserve">PaymentProvider</w:t>
      </w:r>
      <w:r>
        <w:t xml:space="preserve"> adapter. A licensed aggregator is needed for the pilot, and approval can take weeks.</w:t>
      </w:r>
    </w:p>
    <w:p>
      <w:pPr>
        <w:pStyle w:val="Heading2"/>
      </w:pPr>
      <w:r>
        <w:t xml:space="preserve">Decision</w:t>
      </w:r>
    </w:p>
    <w:p>
      <w:pPr>
        <w:keepNext w:val="false"/>
        <w:spacing w:after="120" w:before="0"/>
      </w:pPr>
      <w:r>
        <w:t xml:space="preserve">Proposed: apply to Flutterwave in week 8 as the first aggregator, with Pesapal as fallback. The final choice is recorded here once sandbox access and fees are confirmed.</w:t>
      </w:r>
    </w:p>
    <w:p>
      <w:pPr>
        <w:keepNext w:val="false"/>
        <w:spacing w:after="120" w:before="0"/>
      </w:pPr>
      <w:r>
        <w:t xml:space="preserve">Evaluation criteria: collection and disbursement for both MTN and Airtel in Uganda; webhook reliability and signature scheme; fees per transaction; settlement time; sandbox quality; onboarding requirements for a student-led or newly registered business.</w:t>
      </w:r>
    </w:p>
    <w:p>
      <w:pPr>
        <w:pStyle w:val="Heading2"/>
      </w:pPr>
      <w:r>
        <w:t xml:space="preserve">Consequences</w:t>
      </w:r>
    </w:p>
    <w:p>
      <w:pPr>
        <w:pStyle w:val="ListParagraph"/>
        <w:numPr>
          <w:ilvl w:val="0"/>
          <w:numId w:val="3"/>
        </w:numPr>
        <w:spacing w:after="50"/>
      </w:pPr>
      <w:r>
        <w:t xml:space="preserve">Positive: a licensed aggregator avoids holding customer funds directly (SDD §28 regulatory risk).</w:t>
      </w:r>
    </w:p>
    <w:p>
      <w:pPr>
        <w:pStyle w:val="ListParagraph"/>
        <w:numPr>
          <w:ilvl w:val="0"/>
          <w:numId w:val="3"/>
        </w:numPr>
        <w:spacing w:after="50"/>
      </w:pPr>
      <w:r>
        <w:t xml:space="preserve">Negative: fees reduce margin; onboarding may require business registration.</w:t>
      </w:r>
    </w:p>
    <w:p>
      <w:pPr>
        <w:pStyle w:val="ListParagraph"/>
        <w:numPr>
          <w:ilvl w:val="0"/>
          <w:numId w:val="3"/>
        </w:numPr>
        <w:spacing w:after="50"/>
      </w:pPr>
      <w:r>
        <w:t xml:space="preserve">Follow-up: compare at least two providers in a table added to this ADR before acceptance.</w:t>
      </w:r>
    </w:p>
    <w:p>
      <w:pPr>
        <w:pStyle w:val="Heading2"/>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27"/>
        <w:gridCol w:w="5733"/>
      </w:tblGrid>
      <w:tr>
        <w:trPr>
          <w:tblHeader/>
        </w:trPr>
        <w:tc>
          <w:tcPr>
            <w:tcW w:type="dxa" w:w="362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573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Status</w:t>
            </w:r>
          </w:p>
        </w:tc>
      </w:tr>
      <w:tr>
        <w:trPr>
          <w:cantSplit/>
        </w:trPr>
        <w:tc>
          <w:tcPr>
            <w:tcW w:type="dxa" w:w="362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Flutterwave</w:t>
            </w:r>
          </w:p>
        </w:tc>
        <w:tc>
          <w:tcPr>
            <w:tcW w:type="dxa" w:w="573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Proposed first choice</w:t>
            </w:r>
          </w:p>
        </w:tc>
      </w:tr>
      <w:tr>
        <w:trPr>
          <w:cantSplit/>
        </w:trPr>
        <w:tc>
          <w:tcPr>
            <w:tcW w:type="dxa" w:w="362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Pesapal</w:t>
            </w:r>
          </w:p>
        </w:tc>
        <w:tc>
          <w:tcPr>
            <w:tcW w:type="dxa" w:w="573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Fallback</w:t>
            </w:r>
          </w:p>
        </w:tc>
      </w:tr>
      <w:tr>
        <w:trPr>
          <w:cantSplit/>
        </w:trPr>
        <w:tc>
          <w:tcPr>
            <w:tcW w:type="dxa" w:w="362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Direct MTN MoMo and Airtel APIs</w:t>
            </w:r>
          </w:p>
        </w:tc>
        <w:tc>
          <w:tcPr>
            <w:tcW w:type="dxa" w:w="573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Later, once volumes justify separate integrations</w:t>
            </w:r>
          </w:p>
        </w:tc>
      </w:tr>
    </w:tbl>
    <w:p>
      <w:pPr>
        <w:spacing w:after="100"/>
      </w:pPr>
    </w:p>
    <w:p>
      <w:pPr>
        <w:pStyle w:val="Heading1"/>
        <w:pageBreakBefore/>
      </w:pPr>
      <w:r>
        <w:t xml:space="preserve">ADR-004: Phone number with SMS one-time code as primary identity</w:t>
      </w:r>
    </w:p>
    <w:p>
      <w:pPr>
        <w:pStyle w:val="ListParagraph"/>
        <w:numPr>
          <w:ilvl w:val="0"/>
          <w:numId w:val="3"/>
        </w:numPr>
        <w:spacing w:after="50"/>
      </w:pPr>
      <w:r>
        <w:rPr>
          <w:b/>
          <w:bCs/>
        </w:rPr>
        <w:t xml:space="preserve">Status:</w:t>
      </w:r>
      <w:r>
        <w:t xml:space="preserve"> Accepted</w:t>
      </w:r>
    </w:p>
    <w:p>
      <w:pPr>
        <w:pStyle w:val="ListParagraph"/>
        <w:numPr>
          <w:ilvl w:val="0"/>
          <w:numId w:val="3"/>
        </w:numPr>
        <w:spacing w:after="50"/>
      </w:pPr>
      <w:r>
        <w:rPr>
          <w:b/>
          <w:bCs/>
        </w:rPr>
        <w:t xml:space="preserve">Date:</w:t>
      </w:r>
      <w:r>
        <w:t xml:space="preserve"> [project start]</w:t>
      </w:r>
    </w:p>
    <w:p>
      <w:pPr>
        <w:pStyle w:val="ListParagraph"/>
        <w:numPr>
          <w:ilvl w:val="0"/>
          <w:numId w:val="3"/>
        </w:numPr>
        <w:spacing w:after="50"/>
      </w:pPr>
      <w:r>
        <w:rPr>
          <w:b/>
          <w:bCs/>
        </w:rPr>
        <w:t xml:space="preserve">Related:</w:t>
      </w:r>
      <w:r>
        <w:t xml:space="preserve"> SDD §21, AUTH-01; Implementation Plan M1</w:t>
      </w:r>
    </w:p>
    <w:p>
      <w:pPr>
        <w:pStyle w:val="Heading2"/>
      </w:pPr>
      <w:r>
        <w:t xml:space="preserve">Context</w:t>
      </w:r>
    </w:p>
    <w:p>
      <w:pPr>
        <w:keepNext w:val="false"/>
        <w:spacing w:after="120" w:before="0"/>
      </w:pPr>
      <w:r>
        <w:t xml:space="preserve">Most users in Kampala identify by phone number, pay by mobile money and are reached by SMS. Many do not use email regularly. Passwords are often forgotten and reused.</w:t>
      </w:r>
    </w:p>
    <w:p>
      <w:pPr>
        <w:pStyle w:val="Heading2"/>
      </w:pPr>
      <w:r>
        <w:t xml:space="preserve">Decision</w:t>
      </w:r>
    </w:p>
    <w:p>
      <w:pPr>
        <w:keepNext w:val="false"/>
        <w:spacing w:after="120" w:before="0"/>
      </w:pPr>
      <w:r>
        <w:t xml:space="preserve">Users sign up and log in with a phone number verified by a 6-digit SMS code. Email is optional for customers and recommended for sellers. Tokens: 15-minute access token and 30-day rotating refresh token.</w:t>
      </w:r>
    </w:p>
    <w:p>
      <w:pPr>
        <w:pStyle w:val="Heading2"/>
      </w:pPr>
      <w:r>
        <w:t xml:space="preserve">Consequences</w:t>
      </w:r>
    </w:p>
    <w:p>
      <w:pPr>
        <w:pStyle w:val="ListParagraph"/>
        <w:numPr>
          <w:ilvl w:val="0"/>
          <w:numId w:val="3"/>
        </w:numPr>
        <w:spacing w:after="50"/>
      </w:pPr>
      <w:r>
        <w:t xml:space="preserve">Positive: familiar, fast sign-up; the verified number doubles as the delivery and payment contact.</w:t>
      </w:r>
    </w:p>
    <w:p>
      <w:pPr>
        <w:pStyle w:val="ListParagraph"/>
        <w:numPr>
          <w:ilvl w:val="0"/>
          <w:numId w:val="3"/>
        </w:numPr>
        <w:spacing w:after="50"/>
      </w:pPr>
      <w:r>
        <w:t xml:space="preserve">Negative: SMS costs money per login and depends on the SMS provider; SIM swap is a risk.</w:t>
      </w:r>
    </w:p>
    <w:p>
      <w:pPr>
        <w:pStyle w:val="ListParagraph"/>
        <w:numPr>
          <w:ilvl w:val="0"/>
          <w:numId w:val="3"/>
        </w:numPr>
        <w:spacing w:after="50"/>
      </w:pPr>
      <w:r>
        <w:t xml:space="preserve">Follow-up: rate limits on OTP requests (API Specification §2.7); re-verify the phone before changing payout numbers.</w:t>
      </w:r>
    </w:p>
    <w:p>
      <w:pPr>
        <w:pStyle w:val="Heading2"/>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3"/>
        <w:gridCol w:w="6957"/>
      </w:tblGrid>
      <w:tr>
        <w:trPr>
          <w:tblHeader/>
        </w:trPr>
        <w:tc>
          <w:tcPr>
            <w:tcW w:type="dxa" w:w="240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695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Why not chosen</w:t>
            </w:r>
          </w:p>
        </w:tc>
      </w:tr>
      <w:tr>
        <w:trPr>
          <w:cantSplit/>
        </w:trPr>
        <w:tc>
          <w:tcPr>
            <w:tcW w:type="dxa" w:w="240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Email and password</w:t>
            </w:r>
          </w:p>
        </w:tc>
        <w:tc>
          <w:tcPr>
            <w:tcW w:type="dxa" w:w="695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Poor fit for the audience; password resets add support load</w:t>
            </w:r>
          </w:p>
        </w:tc>
      </w:tr>
      <w:tr>
        <w:trPr>
          <w:cantSplit/>
        </w:trPr>
        <w:tc>
          <w:tcPr>
            <w:tcW w:type="dxa" w:w="240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Google sign-in only</w:t>
            </w:r>
          </w:p>
        </w:tc>
        <w:tc>
          <w:tcPr>
            <w:tcW w:type="dxa" w:w="695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Not universal among target users; still need a verified phone</w:t>
            </w:r>
          </w:p>
        </w:tc>
      </w:tr>
    </w:tbl>
    <w:p>
      <w:pPr>
        <w:spacing w:after="100"/>
      </w:pPr>
    </w:p>
    <w:p>
      <w:pPr>
        <w:pStyle w:val="Heading1"/>
        <w:pageBreakBefore/>
      </w:pPr>
      <w:r>
        <w:t xml:space="preserve">ADR-005: One store per cart and per order in the MVP</w:t>
      </w:r>
    </w:p>
    <w:p>
      <w:pPr>
        <w:pStyle w:val="ListParagraph"/>
        <w:numPr>
          <w:ilvl w:val="0"/>
          <w:numId w:val="3"/>
        </w:numPr>
        <w:spacing w:after="50"/>
      </w:pPr>
      <w:r>
        <w:rPr>
          <w:b/>
          <w:bCs/>
        </w:rPr>
        <w:t xml:space="preserve">Status:</w:t>
      </w:r>
      <w:r>
        <w:t xml:space="preserve"> Accepted</w:t>
      </w:r>
    </w:p>
    <w:p>
      <w:pPr>
        <w:pStyle w:val="ListParagraph"/>
        <w:numPr>
          <w:ilvl w:val="0"/>
          <w:numId w:val="3"/>
        </w:numPr>
        <w:spacing w:after="50"/>
      </w:pPr>
      <w:r>
        <w:rPr>
          <w:b/>
          <w:bCs/>
        </w:rPr>
        <w:t xml:space="preserve">Date:</w:t>
      </w:r>
      <w:r>
        <w:t xml:space="preserve"> [project start]</w:t>
      </w:r>
    </w:p>
    <w:p>
      <w:pPr>
        <w:pStyle w:val="ListParagraph"/>
        <w:numPr>
          <w:ilvl w:val="0"/>
          <w:numId w:val="3"/>
        </w:numPr>
        <w:spacing w:after="50"/>
      </w:pPr>
      <w:r>
        <w:rPr>
          <w:b/>
          <w:bCs/>
        </w:rPr>
        <w:t xml:space="preserve">Related:</w:t>
      </w:r>
      <w:r>
        <w:t xml:space="preserve"> SDD §2.1, CUS-04, §30; Implementation Plan M4</w:t>
      </w:r>
    </w:p>
    <w:p>
      <w:pPr>
        <w:pStyle w:val="Heading2"/>
      </w:pPr>
      <w:r>
        <w:t xml:space="preserve">Context</w:t>
      </w:r>
    </w:p>
    <w:p>
      <w:pPr>
        <w:keepNext w:val="false"/>
        <w:spacing w:after="120" w:before="0"/>
      </w:pPr>
      <w:r>
        <w:t xml:space="preserve">A cart with items from several boutiques would need split orders, several pickups, several riders or route batching, split payments and partial failures. That complexity would not fit the semester.</w:t>
      </w:r>
    </w:p>
    <w:p>
      <w:pPr>
        <w:pStyle w:val="Heading2"/>
      </w:pPr>
      <w:r>
        <w:t xml:space="preserve">Decision</w:t>
      </w:r>
    </w:p>
    <w:p>
      <w:pPr>
        <w:keepNext w:val="false"/>
        <w:spacing w:after="120" w:before="0"/>
      </w:pPr>
      <w:r>
        <w:t xml:space="preserve">A cart belongs to one store. Adding an item from another store returns </w:t>
      </w:r>
      <w:r>
        <w:rPr>
          <w:rFonts w:ascii="Consolas" w:cs="Consolas" w:eastAsia="Consolas" w:hAnsi="Consolas"/>
          <w:color w:val="0A3A9E"/>
          <w:sz w:val="19"/>
          <w:szCs w:val="19"/>
        </w:rPr>
        <w:t xml:space="preserve">CART_STORE_CONFLICT</w:t>
      </w:r>
      <w:r>
        <w:t xml:space="preserve">, and the app offers to start a new bag. One order equals one pickup and one delivery.</w:t>
      </w:r>
    </w:p>
    <w:p>
      <w:pPr>
        <w:pStyle w:val="Heading2"/>
      </w:pPr>
      <w:r>
        <w:t xml:space="preserve">Consequences</w:t>
      </w:r>
    </w:p>
    <w:p>
      <w:pPr>
        <w:pStyle w:val="ListParagraph"/>
        <w:numPr>
          <w:ilvl w:val="0"/>
          <w:numId w:val="3"/>
        </w:numPr>
        <w:spacing w:after="50"/>
      </w:pPr>
      <w:r>
        <w:t xml:space="preserve">Positive: simple order, delivery and payment models; one delivery fee per order.</w:t>
      </w:r>
    </w:p>
    <w:p>
      <w:pPr>
        <w:pStyle w:val="ListParagraph"/>
        <w:numPr>
          <w:ilvl w:val="0"/>
          <w:numId w:val="3"/>
        </w:numPr>
        <w:spacing w:after="50"/>
      </w:pPr>
      <w:r>
        <w:t xml:space="preserve">Negative: customers wanting an outfit from two shops must place two orders.</w:t>
      </w:r>
    </w:p>
    <w:p>
      <w:pPr>
        <w:pStyle w:val="ListParagraph"/>
        <w:numPr>
          <w:ilvl w:val="0"/>
          <w:numId w:val="3"/>
        </w:numPr>
        <w:spacing w:after="50"/>
      </w:pPr>
      <w:r>
        <w:t xml:space="preserve">Follow-up: track how often the conflict appears; if frequent during the pilot, design multi-store baskets (SDD §29).</w:t>
      </w:r>
    </w:p>
    <w:p>
      <w:pPr>
        <w:pStyle w:val="Heading2"/>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27"/>
        <w:gridCol w:w="5133"/>
      </w:tblGrid>
      <w:tr>
        <w:trPr>
          <w:tblHeader/>
        </w:trPr>
        <w:tc>
          <w:tcPr>
            <w:tcW w:type="dxa" w:w="422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513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Why not chosen</w:t>
            </w:r>
          </w:p>
        </w:tc>
      </w:tr>
      <w:tr>
        <w:trPr>
          <w:cantSplit/>
        </w:trPr>
        <w:tc>
          <w:tcPr>
            <w:tcW w:type="dxa" w:w="422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Multi-store cart split into several orders</w:t>
            </w:r>
          </w:p>
        </w:tc>
        <w:tc>
          <w:tcPr>
            <w:tcW w:type="dxa" w:w="513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Doubles delivery and payment complexity for the MVP</w:t>
            </w:r>
          </w:p>
        </w:tc>
      </w:tr>
    </w:tbl>
    <w:p>
      <w:pPr>
        <w:spacing w:after="100"/>
      </w:pPr>
    </w:p>
    <w:p>
      <w:pPr>
        <w:pStyle w:val="Heading1"/>
        <w:pageBreakBefore/>
      </w:pPr>
      <w:r>
        <w:t xml:space="preserve">ADR-006: Request mobile-money payment only after the seller accepts</w:t>
      </w:r>
    </w:p>
    <w:p>
      <w:pPr>
        <w:pStyle w:val="ListParagraph"/>
        <w:numPr>
          <w:ilvl w:val="0"/>
          <w:numId w:val="3"/>
        </w:numPr>
        <w:spacing w:after="50"/>
      </w:pPr>
      <w:r>
        <w:rPr>
          <w:b/>
          <w:bCs/>
        </w:rPr>
        <w:t xml:space="preserve">Status:</w:t>
      </w:r>
      <w:r>
        <w:t xml:space="preserve"> Accepted</w:t>
      </w:r>
    </w:p>
    <w:p>
      <w:pPr>
        <w:pStyle w:val="ListParagraph"/>
        <w:numPr>
          <w:ilvl w:val="0"/>
          <w:numId w:val="3"/>
        </w:numPr>
        <w:spacing w:after="50"/>
      </w:pPr>
      <w:r>
        <w:rPr>
          <w:b/>
          <w:bCs/>
        </w:rPr>
        <w:t xml:space="preserve">Date:</w:t>
      </w:r>
      <w:r>
        <w:t xml:space="preserve"> [project start]</w:t>
      </w:r>
    </w:p>
    <w:p>
      <w:pPr>
        <w:pStyle w:val="ListParagraph"/>
        <w:numPr>
          <w:ilvl w:val="0"/>
          <w:numId w:val="3"/>
        </w:numPr>
        <w:spacing w:after="50"/>
      </w:pPr>
      <w:r>
        <w:rPr>
          <w:b/>
          <w:bCs/>
        </w:rPr>
        <w:t xml:space="preserve">Related:</w:t>
      </w:r>
      <w:r>
        <w:t xml:space="preserve"> SDD §13.1, PAY-03; Implementation Plan M6</w:t>
      </w:r>
    </w:p>
    <w:p>
      <w:pPr>
        <w:pStyle w:val="Heading2"/>
      </w:pPr>
      <w:r>
        <w:t xml:space="preserve">Context</w:t>
      </w:r>
    </w:p>
    <w:p>
      <w:pPr>
        <w:keepNext w:val="false"/>
        <w:spacing w:after="120" w:before="0"/>
      </w:pPr>
      <w:r>
        <w:t xml:space="preserve">Unlike cards, mobile money cannot place a hold on funds. If customers pay at checkout, every rejected or expired order needs a refund, which is slow and damages trust. Boutique stock is also often inaccurate.</w:t>
      </w:r>
    </w:p>
    <w:p>
      <w:pPr>
        <w:pStyle w:val="Heading2"/>
      </w:pPr>
      <w:r>
        <w:t xml:space="preserve">Decision</w:t>
      </w:r>
    </w:p>
    <w:p>
      <w:pPr>
        <w:keepNext w:val="false"/>
        <w:spacing w:after="120" w:before="0"/>
      </w:pPr>
      <w:r>
        <w:t xml:space="preserve">On checkout, stock is reserved and the order waits for the seller. Only after acceptance does the system send the payment prompt (AWAITING_PAYMENT, 10-minute window, up to 3 prompts). Cash-on-delivery orders skip this step.</w:t>
      </w:r>
    </w:p>
    <w:p>
      <w:pPr>
        <w:pStyle w:val="Heading2"/>
      </w:pPr>
      <w:r>
        <w:t xml:space="preserve">Consequences</w:t>
      </w:r>
    </w:p>
    <w:p>
      <w:pPr>
        <w:pStyle w:val="ListParagraph"/>
        <w:numPr>
          <w:ilvl w:val="0"/>
          <w:numId w:val="3"/>
        </w:numPr>
        <w:spacing w:after="50"/>
      </w:pPr>
      <w:r>
        <w:t xml:space="preserve">Positive: almost no refunds for stock problems; customers never pay for unavailable items.</w:t>
      </w:r>
    </w:p>
    <w:p>
      <w:pPr>
        <w:pStyle w:val="ListParagraph"/>
        <w:numPr>
          <w:ilvl w:val="0"/>
          <w:numId w:val="3"/>
        </w:numPr>
        <w:spacing w:after="50"/>
      </w:pPr>
      <w:r>
        <w:t xml:space="preserve">Negative: an extra wait between order and payment; a customer may not approve, wasting the seller’s acceptance.</w:t>
      </w:r>
    </w:p>
    <w:p>
      <w:pPr>
        <w:pStyle w:val="ListParagraph"/>
        <w:numPr>
          <w:ilvl w:val="0"/>
          <w:numId w:val="3"/>
        </w:numPr>
        <w:spacing w:after="50"/>
      </w:pPr>
      <w:r>
        <w:t xml:space="preserve">Follow-up: measure payment completion rate after acceptance during the pilot.</w:t>
      </w:r>
    </w:p>
    <w:p>
      <w:pPr>
        <w:pStyle w:val="Heading2"/>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3"/>
        <w:gridCol w:w="5657"/>
      </w:tblGrid>
      <w:tr>
        <w:trPr>
          <w:tblHeader/>
        </w:trPr>
        <w:tc>
          <w:tcPr>
            <w:tcW w:type="dxa" w:w="370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565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Why not chosen</w:t>
            </w:r>
          </w:p>
        </w:tc>
      </w:tr>
      <w:tr>
        <w:trPr>
          <w:cantSplit/>
        </w:trPr>
        <w:tc>
          <w:tcPr>
            <w:tcW w:type="dxa" w:w="370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Pay at checkout, refund on rejection</w:t>
            </w:r>
          </w:p>
        </w:tc>
        <w:tc>
          <w:tcPr>
            <w:tcW w:type="dxa" w:w="565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Refund delays and fees; poor trust</w:t>
            </w:r>
          </w:p>
        </w:tc>
      </w:tr>
      <w:tr>
        <w:trPr>
          <w:cantSplit/>
        </w:trPr>
        <w:tc>
          <w:tcPr>
            <w:tcW w:type="dxa" w:w="370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Cash on delivery only</w:t>
            </w:r>
          </w:p>
        </w:tc>
        <w:tc>
          <w:tcPr>
            <w:tcW w:type="dxa" w:w="565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Excludes customers who prefer mobile money; more cash handling</w:t>
            </w:r>
          </w:p>
        </w:tc>
      </w:tr>
    </w:tbl>
    <w:p>
      <w:pPr>
        <w:spacing w:after="100"/>
      </w:pPr>
    </w:p>
    <w:p>
      <w:pPr>
        <w:pStyle w:val="Heading1"/>
        <w:pageBreakBefore/>
      </w:pPr>
      <w:r>
        <w:t xml:space="preserve">ADR-007: Double-entry ledger for all money movements</w:t>
      </w:r>
    </w:p>
    <w:p>
      <w:pPr>
        <w:pStyle w:val="ListParagraph"/>
        <w:numPr>
          <w:ilvl w:val="0"/>
          <w:numId w:val="3"/>
        </w:numPr>
        <w:spacing w:after="50"/>
      </w:pPr>
      <w:r>
        <w:rPr>
          <w:b/>
          <w:bCs/>
        </w:rPr>
        <w:t xml:space="preserve">Status:</w:t>
      </w:r>
      <w:r>
        <w:t xml:space="preserve"> Accepted</w:t>
      </w:r>
    </w:p>
    <w:p>
      <w:pPr>
        <w:pStyle w:val="ListParagraph"/>
        <w:numPr>
          <w:ilvl w:val="0"/>
          <w:numId w:val="3"/>
        </w:numPr>
        <w:spacing w:after="50"/>
      </w:pPr>
      <w:r>
        <w:rPr>
          <w:b/>
          <w:bCs/>
        </w:rPr>
        <w:t xml:space="preserve">Date:</w:t>
      </w:r>
      <w:r>
        <w:t xml:space="preserve"> [project start]</w:t>
      </w:r>
    </w:p>
    <w:p>
      <w:pPr>
        <w:pStyle w:val="ListParagraph"/>
        <w:numPr>
          <w:ilvl w:val="0"/>
          <w:numId w:val="3"/>
        </w:numPr>
        <w:spacing w:after="50"/>
      </w:pPr>
      <w:r>
        <w:rPr>
          <w:b/>
          <w:bCs/>
        </w:rPr>
        <w:t xml:space="preserve">Related:</w:t>
      </w:r>
      <w:r>
        <w:t xml:space="preserve"> SDD §4.3, NFR-12; Implementation Plan M9</w:t>
      </w:r>
    </w:p>
    <w:p>
      <w:pPr>
        <w:pStyle w:val="Heading2"/>
      </w:pPr>
      <w:r>
        <w:t xml:space="preserve">Context</w:t>
      </w:r>
    </w:p>
    <w:p>
      <w:pPr>
        <w:keepNext w:val="false"/>
        <w:spacing w:after="120" w:before="0"/>
      </w:pPr>
      <w:r>
        <w:t xml:space="preserve">Money moves between customers, sellers, riders, the platform and the payment provider, including cash held by riders and partial returns. Storing balances as editable numbers makes errors impossible to trace.</w:t>
      </w:r>
    </w:p>
    <w:p>
      <w:pPr>
        <w:pStyle w:val="Heading2"/>
      </w:pPr>
      <w:r>
        <w:t xml:space="preserve">Decision</w:t>
      </w:r>
    </w:p>
    <w:p>
      <w:pPr>
        <w:keepNext w:val="false"/>
        <w:spacing w:after="120" w:before="0"/>
      </w:pPr>
      <w:r>
        <w:t xml:space="preserve">Every financial effect is posted as a balanced set of ledger entries (sum = 0) against accounts. Balances are always derived by summing entries. Entries are append-only; corrections are reversing entries.</w:t>
      </w:r>
    </w:p>
    <w:p>
      <w:pPr>
        <w:pStyle w:val="Heading2"/>
      </w:pPr>
      <w:r>
        <w:t xml:space="preserve">Consequences</w:t>
      </w:r>
    </w:p>
    <w:p>
      <w:pPr>
        <w:pStyle w:val="ListParagraph"/>
        <w:numPr>
          <w:ilvl w:val="0"/>
          <w:numId w:val="3"/>
        </w:numPr>
        <w:spacing w:after="50"/>
      </w:pPr>
      <w:r>
        <w:t xml:space="preserve">Positive: any figure shown to a seller or rider can be traced; reconciliation is a query.</w:t>
      </w:r>
    </w:p>
    <w:p>
      <w:pPr>
        <w:pStyle w:val="ListParagraph"/>
        <w:numPr>
          <w:ilvl w:val="0"/>
          <w:numId w:val="3"/>
        </w:numPr>
        <w:spacing w:after="50"/>
      </w:pPr>
      <w:r>
        <w:t xml:space="preserve">Negative: more design effort; developers must learn posting rules.</w:t>
      </w:r>
    </w:p>
    <w:p>
      <w:pPr>
        <w:pStyle w:val="ListParagraph"/>
        <w:numPr>
          <w:ilvl w:val="0"/>
          <w:numId w:val="3"/>
        </w:numPr>
        <w:spacing w:after="50"/>
      </w:pPr>
      <w:r>
        <w:t xml:space="preserve">Follow-up: nightly imbalance check; reconciliation test on 50 seeded orders.</w:t>
      </w:r>
    </w:p>
    <w:p>
      <w:pPr>
        <w:pStyle w:val="Heading2"/>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73"/>
        <w:gridCol w:w="5187"/>
      </w:tblGrid>
      <w:tr>
        <w:trPr>
          <w:tblHeader/>
        </w:trPr>
        <w:tc>
          <w:tcPr>
            <w:tcW w:type="dxa" w:w="417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518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Why not chosen</w:t>
            </w:r>
          </w:p>
        </w:tc>
      </w:tr>
      <w:tr>
        <w:trPr>
          <w:cantSplit/>
        </w:trPr>
        <w:tc>
          <w:tcPr>
            <w:tcW w:type="dxa" w:w="417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Balance columns on sellers and riders</w:t>
            </w:r>
          </w:p>
        </w:tc>
        <w:tc>
          <w:tcPr>
            <w:tcW w:type="dxa" w:w="51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Untraceable errors; race conditions on updates</w:t>
            </w:r>
          </w:p>
        </w:tc>
      </w:tr>
      <w:tr>
        <w:trPr>
          <w:cantSplit/>
        </w:trPr>
        <w:tc>
          <w:tcPr>
            <w:tcW w:type="dxa" w:w="417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Accounting software export only</w:t>
            </w:r>
          </w:p>
        </w:tc>
        <w:tc>
          <w:tcPr>
            <w:tcW w:type="dxa" w:w="51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Does not give sellers and riders live balances</w:t>
            </w:r>
          </w:p>
        </w:tc>
      </w:tr>
    </w:tbl>
    <w:p>
      <w:pPr>
        <w:spacing w:after="100"/>
      </w:pPr>
    </w:p>
    <w:p>
      <w:pPr>
        <w:pStyle w:val="Heading1"/>
        <w:pageBreakBefore/>
      </w:pPr>
      <w:r>
        <w:t xml:space="preserve">ADR-008: PostgreSQL with PostGIS and pg_trgm for geo and search</w:t>
      </w:r>
    </w:p>
    <w:p>
      <w:pPr>
        <w:pStyle w:val="ListParagraph"/>
        <w:numPr>
          <w:ilvl w:val="0"/>
          <w:numId w:val="3"/>
        </w:numPr>
        <w:spacing w:after="50"/>
      </w:pPr>
      <w:r>
        <w:rPr>
          <w:b/>
          <w:bCs/>
        </w:rPr>
        <w:t xml:space="preserve">Status:</w:t>
      </w:r>
      <w:r>
        <w:t xml:space="preserve"> Accepted</w:t>
      </w:r>
    </w:p>
    <w:p>
      <w:pPr>
        <w:pStyle w:val="ListParagraph"/>
        <w:numPr>
          <w:ilvl w:val="0"/>
          <w:numId w:val="3"/>
        </w:numPr>
        <w:spacing w:after="50"/>
      </w:pPr>
      <w:r>
        <w:rPr>
          <w:b/>
          <w:bCs/>
        </w:rPr>
        <w:t xml:space="preserve">Date:</w:t>
      </w:r>
      <w:r>
        <w:t xml:space="preserve"> [project start]</w:t>
      </w:r>
    </w:p>
    <w:p>
      <w:pPr>
        <w:pStyle w:val="ListParagraph"/>
        <w:numPr>
          <w:ilvl w:val="0"/>
          <w:numId w:val="3"/>
        </w:numPr>
        <w:spacing w:after="50"/>
      </w:pPr>
      <w:r>
        <w:rPr>
          <w:b/>
          <w:bCs/>
        </w:rPr>
        <w:t xml:space="preserve">Related:</w:t>
      </w:r>
      <w:r>
        <w:t xml:space="preserve"> SDD §9; Database Design §1.2; Implementation Plan M3</w:t>
      </w:r>
    </w:p>
    <w:p>
      <w:pPr>
        <w:pStyle w:val="Heading2"/>
      </w:pPr>
      <w:r>
        <w:t xml:space="preserve">Context</w:t>
      </w:r>
    </w:p>
    <w:p>
      <w:pPr>
        <w:keepNext w:val="false"/>
        <w:spacing w:after="120" w:before="0"/>
      </w:pPr>
      <w:r>
        <w:t xml:space="preserve">Discovery needs distance from the customer, delivery zones and typo-tolerant text search. The catalogue at pilot scale is a few thousand products.</w:t>
      </w:r>
    </w:p>
    <w:p>
      <w:pPr>
        <w:pStyle w:val="Heading2"/>
      </w:pPr>
      <w:r>
        <w:t xml:space="preserve">Decision</w:t>
      </w:r>
    </w:p>
    <w:p>
      <w:pPr>
        <w:keepNext w:val="false"/>
        <w:spacing w:after="120" w:before="0"/>
      </w:pPr>
      <w:r>
        <w:t xml:space="preserve">Use PostGIS for points, polygons and distance, Postgres full-text search for relevance and pg_trgm for typos. No separate search engine in the MVP; move to Meilisearch or Typesense only if search latency or relevance fails NFR-01.</w:t>
      </w:r>
    </w:p>
    <w:p>
      <w:pPr>
        <w:pStyle w:val="Heading2"/>
      </w:pPr>
      <w:r>
        <w:t xml:space="preserve">Consequences</w:t>
      </w:r>
    </w:p>
    <w:p>
      <w:pPr>
        <w:pStyle w:val="ListParagraph"/>
        <w:numPr>
          <w:ilvl w:val="0"/>
          <w:numId w:val="3"/>
        </w:numPr>
        <w:spacing w:after="50"/>
      </w:pPr>
      <w:r>
        <w:t xml:space="preserve">Positive: one database, transactional consistency between stock and search, fewer moving parts.</w:t>
      </w:r>
    </w:p>
    <w:p>
      <w:pPr>
        <w:pStyle w:val="ListParagraph"/>
        <w:numPr>
          <w:ilvl w:val="0"/>
          <w:numId w:val="3"/>
        </w:numPr>
        <w:spacing w:after="50"/>
      </w:pPr>
      <w:r>
        <w:t xml:space="preserve">Negative: relevance tuning is more manual than in a dedicated engine.</w:t>
      </w:r>
    </w:p>
    <w:p>
      <w:pPr>
        <w:pStyle w:val="ListParagraph"/>
        <w:numPr>
          <w:ilvl w:val="0"/>
          <w:numId w:val="3"/>
        </w:numPr>
        <w:spacing w:after="50"/>
      </w:pPr>
      <w:r>
        <w:t xml:space="preserve">Follow-up: performance test on 5,000 products in M3.</w:t>
      </w:r>
    </w:p>
    <w:p>
      <w:pPr>
        <w:pStyle w:val="Heading2"/>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tblHeader/>
        </w:trPr>
        <w:tc>
          <w:tcPr>
            <w:tcW w:type="dxa" w:w="3510"/>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5850"/>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Why not chosen</w:t>
            </w:r>
          </w:p>
        </w:tc>
      </w:tr>
      <w:tr>
        <w:trPr>
          <w:cantSplit/>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Elasticsearch</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Heavy to run; unnecessary at this scale</w:t>
            </w:r>
          </w:p>
        </w:tc>
      </w:tr>
      <w:tr>
        <w:trPr>
          <w:cantSplit/>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Meilisearch from day one</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Extra sync logic between stock and index</w:t>
            </w:r>
          </w:p>
        </w:tc>
      </w:tr>
    </w:tbl>
    <w:p>
      <w:pPr>
        <w:spacing w:after="100"/>
      </w:pPr>
    </w:p>
    <w:p>
      <w:pPr>
        <w:pStyle w:val="Heading1"/>
        <w:pageBreakBefore/>
      </w:pPr>
      <w:r>
        <w:t xml:space="preserve">ADR-009: Server-Sent Events for timelines, WebSocket for riders</w:t>
      </w:r>
    </w:p>
    <w:p>
      <w:pPr>
        <w:pStyle w:val="ListParagraph"/>
        <w:numPr>
          <w:ilvl w:val="0"/>
          <w:numId w:val="3"/>
        </w:numPr>
        <w:spacing w:after="50"/>
      </w:pPr>
      <w:r>
        <w:rPr>
          <w:b/>
          <w:bCs/>
        </w:rPr>
        <w:t xml:space="preserve">Status:</w:t>
      </w:r>
      <w:r>
        <w:t xml:space="preserve"> Accepted</w:t>
      </w:r>
    </w:p>
    <w:p>
      <w:pPr>
        <w:pStyle w:val="ListParagraph"/>
        <w:numPr>
          <w:ilvl w:val="0"/>
          <w:numId w:val="3"/>
        </w:numPr>
        <w:spacing w:after="50"/>
      </w:pPr>
      <w:r>
        <w:rPr>
          <w:b/>
          <w:bCs/>
        </w:rPr>
        <w:t xml:space="preserve">Date:</w:t>
      </w:r>
      <w:r>
        <w:t xml:space="preserve"> [project start]</w:t>
      </w:r>
    </w:p>
    <w:p>
      <w:pPr>
        <w:pStyle w:val="ListParagraph"/>
        <w:numPr>
          <w:ilvl w:val="0"/>
          <w:numId w:val="3"/>
        </w:numPr>
        <w:spacing w:after="50"/>
      </w:pPr>
      <w:r>
        <w:rPr>
          <w:b/>
          <w:bCs/>
        </w:rPr>
        <w:t xml:space="preserve">Related:</w:t>
      </w:r>
      <w:r>
        <w:t xml:space="preserve"> SDD §8; TRK-01; Implementation Plan M7, M8</w:t>
      </w:r>
    </w:p>
    <w:p>
      <w:pPr>
        <w:pStyle w:val="Heading2"/>
      </w:pPr>
      <w:r>
        <w:t xml:space="preserve">Context</w:t>
      </w:r>
    </w:p>
    <w:p>
      <w:pPr>
        <w:keepNext w:val="false"/>
        <w:spacing w:after="120" w:before="0"/>
      </w:pPr>
      <w:r>
        <w:t xml:space="preserve">Customers and sellers need status updates pushed to them; riders need job offers and must send location updates.</w:t>
      </w:r>
    </w:p>
    <w:p>
      <w:pPr>
        <w:pStyle w:val="Heading2"/>
      </w:pPr>
      <w:r>
        <w:t xml:space="preserve">Decision</w:t>
      </w:r>
    </w:p>
    <w:p>
      <w:pPr>
        <w:keepNext w:val="false"/>
        <w:spacing w:after="120" w:before="0"/>
      </w:pPr>
      <w:r>
        <w:t xml:space="preserve">Customers and sellers subscribe to </w:t>
      </w:r>
      <w:r>
        <w:rPr>
          <w:rFonts w:ascii="Consolas" w:cs="Consolas" w:eastAsia="Consolas" w:hAnsi="Consolas"/>
          <w:color w:val="0A3A9E"/>
          <w:sz w:val="19"/>
          <w:szCs w:val="19"/>
        </w:rPr>
        <w:t xml:space="preserve">GET /orders/{id}/events</w:t>
      </w:r>
      <w:r>
        <w:t xml:space="preserve"> using SSE (one-way, auto-reconnect with </w:t>
      </w:r>
      <w:r>
        <w:rPr>
          <w:rFonts w:ascii="Consolas" w:cs="Consolas" w:eastAsia="Consolas" w:hAnsi="Consolas"/>
          <w:color w:val="0A3A9E"/>
          <w:sz w:val="19"/>
          <w:szCs w:val="19"/>
        </w:rPr>
        <w:t xml:space="preserve">Last-Event-ID</w:t>
      </w:r>
      <w:r>
        <w:t xml:space="preserve">). Riders use one WebSocket (</w:t>
      </w:r>
      <w:r>
        <w:rPr>
          <w:rFonts w:ascii="Consolas" w:cs="Consolas" w:eastAsia="Consolas" w:hAnsi="Consolas"/>
          <w:color w:val="0A3A9E"/>
          <w:sz w:val="19"/>
          <w:szCs w:val="19"/>
        </w:rPr>
        <w:t xml:space="preserve">/rider/ws</w:t>
      </w:r>
      <w:r>
        <w:t xml:space="preserve">) for offers and location. Redis pub/sub fans out events across API instances.</w:t>
      </w:r>
    </w:p>
    <w:p>
      <w:pPr>
        <w:pStyle w:val="Heading2"/>
      </w:pPr>
      <w:r>
        <w:t xml:space="preserve">Consequences</w:t>
      </w:r>
    </w:p>
    <w:p>
      <w:pPr>
        <w:pStyle w:val="ListParagraph"/>
        <w:numPr>
          <w:ilvl w:val="0"/>
          <w:numId w:val="3"/>
        </w:numPr>
        <w:spacing w:after="50"/>
      </w:pPr>
      <w:r>
        <w:t xml:space="preserve">Positive: SSE works through most proxies and is simple for one-way updates; WebSocket fits the rider’s two-way needs.</w:t>
      </w:r>
    </w:p>
    <w:p>
      <w:pPr>
        <w:pStyle w:val="ListParagraph"/>
        <w:numPr>
          <w:ilvl w:val="0"/>
          <w:numId w:val="3"/>
        </w:numPr>
        <w:spacing w:after="50"/>
      </w:pPr>
      <w:r>
        <w:t xml:space="preserve">Negative: two mechanisms to maintain; long-lived connections need proxy timeout tuning.</w:t>
      </w:r>
    </w:p>
    <w:p>
      <w:pPr>
        <w:pStyle w:val="ListParagraph"/>
        <w:numPr>
          <w:ilvl w:val="0"/>
          <w:numId w:val="3"/>
        </w:numPr>
        <w:spacing w:after="50"/>
      </w:pPr>
      <w:r>
        <w:t xml:space="preserve">Follow-up: clients fall back to polling every 10 seconds if SSE fails.</w:t>
      </w:r>
    </w:p>
    <w:p>
      <w:pPr>
        <w:pStyle w:val="Heading2"/>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8"/>
        <w:gridCol w:w="5932"/>
      </w:tblGrid>
      <w:tr>
        <w:trPr>
          <w:tblHeader/>
        </w:trPr>
        <w:tc>
          <w:tcPr>
            <w:tcW w:type="dxa" w:w="342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5932"/>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Why not chosen</w:t>
            </w:r>
          </w:p>
        </w:tc>
      </w:tr>
      <w:tr>
        <w:trPr>
          <w:cantSplit/>
        </w:trPr>
        <w:tc>
          <w:tcPr>
            <w:tcW w:type="dxa" w:w="34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Polling only</w:t>
            </w:r>
          </w:p>
        </w:tc>
        <w:tc>
          <w:tcPr>
            <w:tcW w:type="dxa" w:w="59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Wasteful on mobile data; slow updates</w:t>
            </w:r>
          </w:p>
        </w:tc>
      </w:tr>
      <w:tr>
        <w:trPr>
          <w:cantSplit/>
        </w:trPr>
        <w:tc>
          <w:tcPr>
            <w:tcW w:type="dxa" w:w="34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WebSocket for everyone</w:t>
            </w:r>
          </w:p>
        </w:tc>
        <w:tc>
          <w:tcPr>
            <w:tcW w:type="dxa" w:w="59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More complex for one-way customer updates</w:t>
            </w:r>
          </w:p>
        </w:tc>
      </w:tr>
      <w:tr>
        <w:trPr>
          <w:cantSplit/>
        </w:trPr>
        <w:tc>
          <w:tcPr>
            <w:tcW w:type="dxa" w:w="34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Firebase Realtime Database</w:t>
            </w:r>
          </w:p>
        </w:tc>
        <w:tc>
          <w:tcPr>
            <w:tcW w:type="dxa" w:w="59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Splits the source of truth away from Postgres</w:t>
            </w:r>
          </w:p>
        </w:tc>
      </w:tr>
    </w:tbl>
    <w:p>
      <w:pPr>
        <w:spacing w:after="100"/>
      </w:pPr>
    </w:p>
    <w:p>
      <w:pPr>
        <w:pStyle w:val="Heading1"/>
        <w:pageBreakBefore/>
      </w:pPr>
      <w:r>
        <w:t xml:space="preserve">ADR-010: Rider app as a progressive web app first</w:t>
      </w:r>
    </w:p>
    <w:p>
      <w:pPr>
        <w:pStyle w:val="ListParagraph"/>
        <w:numPr>
          <w:ilvl w:val="0"/>
          <w:numId w:val="3"/>
        </w:numPr>
        <w:spacing w:after="50"/>
      </w:pPr>
      <w:r>
        <w:rPr>
          <w:b/>
          <w:bCs/>
        </w:rPr>
        <w:t xml:space="preserve">Status:</w:t>
      </w:r>
      <w:r>
        <w:t xml:space="preserve"> Accepted</w:t>
      </w:r>
    </w:p>
    <w:p>
      <w:pPr>
        <w:pStyle w:val="ListParagraph"/>
        <w:numPr>
          <w:ilvl w:val="0"/>
          <w:numId w:val="3"/>
        </w:numPr>
        <w:spacing w:after="50"/>
      </w:pPr>
      <w:r>
        <w:rPr>
          <w:b/>
          <w:bCs/>
        </w:rPr>
        <w:t xml:space="preserve">Date:</w:t>
      </w:r>
      <w:r>
        <w:t xml:space="preserve"> [project start]</w:t>
      </w:r>
    </w:p>
    <w:p>
      <w:pPr>
        <w:pStyle w:val="ListParagraph"/>
        <w:numPr>
          <w:ilvl w:val="0"/>
          <w:numId w:val="3"/>
        </w:numPr>
        <w:spacing w:after="50"/>
      </w:pPr>
      <w:r>
        <w:rPr>
          <w:b/>
          <w:bCs/>
        </w:rPr>
        <w:t xml:space="preserve">Related:</w:t>
      </w:r>
      <w:r>
        <w:t xml:space="preserve"> SDD §2.2, §9; Implementation Plan M7</w:t>
      </w:r>
    </w:p>
    <w:p>
      <w:pPr>
        <w:pStyle w:val="Heading2"/>
      </w:pPr>
      <w:r>
        <w:t xml:space="preserve">Context</w:t>
      </w:r>
    </w:p>
    <w:p>
      <w:pPr>
        <w:keepNext w:val="false"/>
        <w:spacing w:after="120" w:before="0"/>
      </w:pPr>
      <w:r>
        <w:t xml:space="preserve">Riders need a mobile app, but building and publishing native apps adds tooling, store review and a separate codebase. The pilot has a small number of riders.</w:t>
      </w:r>
    </w:p>
    <w:p>
      <w:pPr>
        <w:pStyle w:val="Heading2"/>
      </w:pPr>
      <w:r>
        <w:t xml:space="preserve">Decision</w:t>
      </w:r>
    </w:p>
    <w:p>
      <w:pPr>
        <w:keepNext w:val="false"/>
        <w:spacing w:after="120" w:before="0"/>
      </w:pPr>
      <w:r>
        <w:t xml:space="preserve">Build the rider app as a PWA in the same React workspace. Location is sent while the app is open and the rider is online. Plan React Native (Expo) after the pilot if background location proves necessary.</w:t>
      </w:r>
    </w:p>
    <w:p>
      <w:pPr>
        <w:pStyle w:val="Heading2"/>
      </w:pPr>
      <w:r>
        <w:t xml:space="preserve">Consequences</w:t>
      </w:r>
    </w:p>
    <w:p>
      <w:pPr>
        <w:pStyle w:val="ListParagraph"/>
        <w:numPr>
          <w:ilvl w:val="0"/>
          <w:numId w:val="3"/>
        </w:numPr>
        <w:spacing w:after="50"/>
      </w:pPr>
      <w:r>
        <w:t xml:space="preserve">Positive: one codebase and design system; instant updates; no app-store delay.</w:t>
      </w:r>
    </w:p>
    <w:p>
      <w:pPr>
        <w:pStyle w:val="ListParagraph"/>
        <w:numPr>
          <w:ilvl w:val="0"/>
          <w:numId w:val="3"/>
        </w:numPr>
        <w:spacing w:after="50"/>
      </w:pPr>
      <w:r>
        <w:t xml:space="preserve">Negative: browsers limit background location and some push features, especially on iOS.</w:t>
      </w:r>
    </w:p>
    <w:p>
      <w:pPr>
        <w:pStyle w:val="ListParagraph"/>
        <w:numPr>
          <w:ilvl w:val="0"/>
          <w:numId w:val="3"/>
        </w:numPr>
        <w:spacing w:after="50"/>
      </w:pPr>
      <w:r>
        <w:t xml:space="preserve">Follow-up: test on 3 low-end Android devices in week 9; riders keep the app open during active jobs.</w:t>
      </w:r>
    </w:p>
    <w:p>
      <w:pPr>
        <w:pStyle w:val="Heading2"/>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2"/>
        <w:gridCol w:w="6278"/>
      </w:tblGrid>
      <w:tr>
        <w:trPr>
          <w:tblHeader/>
        </w:trPr>
        <w:tc>
          <w:tcPr>
            <w:tcW w:type="dxa" w:w="3082"/>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627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Why not chosen</w:t>
            </w:r>
          </w:p>
        </w:tc>
      </w:tr>
      <w:tr>
        <w:trPr>
          <w:cantSplit/>
        </w:trPr>
        <w:tc>
          <w:tcPr>
            <w:tcW w:type="dxa" w:w="308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React Native from the start</w:t>
            </w:r>
          </w:p>
        </w:tc>
        <w:tc>
          <w:tcPr>
            <w:tcW w:type="dxa" w:w="627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Extra toolchain and store publishing during the semester</w:t>
            </w:r>
          </w:p>
        </w:tc>
      </w:tr>
      <w:tr>
        <w:trPr>
          <w:cantSplit/>
        </w:trPr>
        <w:tc>
          <w:tcPr>
            <w:tcW w:type="dxa" w:w="308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SMS/USSD-only rider flow</w:t>
            </w:r>
          </w:p>
        </w:tc>
        <w:tc>
          <w:tcPr>
            <w:tcW w:type="dxa" w:w="627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Cannot show maps or enter codes comfortably</w:t>
            </w:r>
          </w:p>
        </w:tc>
      </w:tr>
    </w:tbl>
    <w:p>
      <w:pPr>
        <w:spacing w:after="100"/>
      </w:pPr>
    </w:p>
    <w:p>
      <w:pPr>
        <w:pStyle w:val="Heading1"/>
        <w:pageBreakBefore/>
      </w:pPr>
      <w:r>
        <w:t xml:space="preserve">ADR-011: Maps and geocoding provider</w:t>
      </w:r>
    </w:p>
    <w:p>
      <w:pPr>
        <w:pStyle w:val="ListParagraph"/>
        <w:numPr>
          <w:ilvl w:val="0"/>
          <w:numId w:val="3"/>
        </w:numPr>
        <w:spacing w:after="50"/>
      </w:pPr>
      <w:r>
        <w:rPr>
          <w:b/>
          <w:bCs/>
        </w:rPr>
        <w:t xml:space="preserve">Status:</w:t>
      </w:r>
      <w:r>
        <w:t xml:space="preserve"> Proposed (decide by week 2)</w:t>
      </w:r>
    </w:p>
    <w:p>
      <w:pPr>
        <w:pStyle w:val="ListParagraph"/>
        <w:numPr>
          <w:ilvl w:val="0"/>
          <w:numId w:val="3"/>
        </w:numPr>
        <w:spacing w:after="50"/>
      </w:pPr>
      <w:r>
        <w:rPr>
          <w:b/>
          <w:bCs/>
        </w:rPr>
        <w:t xml:space="preserve">Date:</w:t>
      </w:r>
      <w:r>
        <w:t xml:space="preserve"> [date]</w:t>
      </w:r>
    </w:p>
    <w:p>
      <w:pPr>
        <w:pStyle w:val="ListParagraph"/>
        <w:numPr>
          <w:ilvl w:val="0"/>
          <w:numId w:val="3"/>
        </w:numPr>
        <w:spacing w:after="50"/>
      </w:pPr>
      <w:r>
        <w:rPr>
          <w:b/>
          <w:bCs/>
        </w:rPr>
        <w:t xml:space="preserve">Related:</w:t>
      </w:r>
      <w:r>
        <w:t xml:space="preserve"> SDD §14; Implementation Plan M1; Open Decision 6</w:t>
      </w:r>
    </w:p>
    <w:p>
      <w:pPr>
        <w:pStyle w:val="Heading2"/>
      </w:pPr>
      <w:r>
        <w:t xml:space="preserve">Context</w:t>
      </w:r>
    </w:p>
    <w:p>
      <w:pPr>
        <w:keepNext w:val="false"/>
        <w:spacing w:after="120" w:before="0"/>
      </w:pPr>
      <w:r>
        <w:t xml:space="preserve">Addresses are pin-first with landmarks. The app needs a map for pin drop, road distance for fees, and tiles for the tracking view. Cost matters.</w:t>
      </w:r>
    </w:p>
    <w:p>
      <w:pPr>
        <w:pStyle w:val="Heading2"/>
      </w:pPr>
      <w:r>
        <w:t xml:space="preserve">Decision</w:t>
      </w:r>
    </w:p>
    <w:p>
      <w:pPr>
        <w:keepNext w:val="false"/>
        <w:spacing w:after="120" w:before="0"/>
      </w:pPr>
      <w:r>
        <w:t xml:space="preserve">Proposed: OpenStreetMap tiles with Nominatim and OSRM (self-hosted or free tier) for development; evaluate Google Maps Platform for the pilot if pin accuracy or routing quality is poor. All calls go through the maps adapter and results are cached.</w:t>
      </w:r>
    </w:p>
    <w:p>
      <w:pPr>
        <w:pStyle w:val="Heading2"/>
      </w:pPr>
      <w:r>
        <w:t xml:space="preserve">Consequences</w:t>
      </w:r>
    </w:p>
    <w:p>
      <w:pPr>
        <w:pStyle w:val="ListParagraph"/>
        <w:numPr>
          <w:ilvl w:val="0"/>
          <w:numId w:val="3"/>
        </w:numPr>
        <w:spacing w:after="50"/>
      </w:pPr>
      <w:r>
        <w:t xml:space="preserve">Positive: no cost during development; swap provider without code changes outside the adapter.</w:t>
      </w:r>
    </w:p>
    <w:p>
      <w:pPr>
        <w:pStyle w:val="ListParagraph"/>
        <w:numPr>
          <w:ilvl w:val="0"/>
          <w:numId w:val="3"/>
        </w:numPr>
        <w:spacing w:after="50"/>
      </w:pPr>
      <w:r>
        <w:t xml:space="preserve">Negative: OSM coverage of informal areas can be thinner; public Nominatim has strict usage limits.</w:t>
      </w:r>
    </w:p>
    <w:p>
      <w:pPr>
        <w:pStyle w:val="ListParagraph"/>
        <w:numPr>
          <w:ilvl w:val="0"/>
          <w:numId w:val="3"/>
        </w:numPr>
        <w:spacing w:after="50"/>
      </w:pPr>
      <w:r>
        <w:t xml:space="preserve">Follow-up: compare pin accuracy for 20 known Kampala locations before accepting.</w:t>
      </w:r>
    </w:p>
    <w:p>
      <w:pPr>
        <w:pStyle w:val="Heading1"/>
        <w:pageBreakBefore/>
      </w:pPr>
      <w:r>
        <w:t xml:space="preserve">ADR-012: Pickup, drop-off and return confirmation codes</w:t>
      </w:r>
    </w:p>
    <w:p>
      <w:pPr>
        <w:pStyle w:val="ListParagraph"/>
        <w:numPr>
          <w:ilvl w:val="0"/>
          <w:numId w:val="3"/>
        </w:numPr>
        <w:spacing w:after="50"/>
      </w:pPr>
      <w:r>
        <w:rPr>
          <w:b/>
          <w:bCs/>
        </w:rPr>
        <w:t xml:space="preserve">Status:</w:t>
      </w:r>
      <w:r>
        <w:t xml:space="preserve"> Accepted</w:t>
      </w:r>
    </w:p>
    <w:p>
      <w:pPr>
        <w:pStyle w:val="ListParagraph"/>
        <w:numPr>
          <w:ilvl w:val="0"/>
          <w:numId w:val="3"/>
        </w:numPr>
        <w:spacing w:after="50"/>
      </w:pPr>
      <w:r>
        <w:rPr>
          <w:b/>
          <w:bCs/>
        </w:rPr>
        <w:t xml:space="preserve">Date:</w:t>
      </w:r>
      <w:r>
        <w:t xml:space="preserve"> [project start]</w:t>
      </w:r>
    </w:p>
    <w:p>
      <w:pPr>
        <w:pStyle w:val="ListParagraph"/>
        <w:numPr>
          <w:ilvl w:val="0"/>
          <w:numId w:val="3"/>
        </w:numPr>
        <w:spacing w:after="50"/>
      </w:pPr>
      <w:r>
        <w:rPr>
          <w:b/>
          <w:bCs/>
        </w:rPr>
        <w:t xml:space="preserve">Related:</w:t>
      </w:r>
      <w:r>
        <w:t xml:space="preserve"> SDD §12.2, §21, RID-03; Implementation Plan M7</w:t>
      </w:r>
    </w:p>
    <w:p>
      <w:pPr>
        <w:pStyle w:val="Heading2"/>
      </w:pPr>
      <w:r>
        <w:t xml:space="preserve">Context</w:t>
      </w:r>
    </w:p>
    <w:p>
      <w:pPr>
        <w:keepNext w:val="false"/>
        <w:spacing w:after="120" w:before="0"/>
      </w:pPr>
      <w:r>
        <w:t xml:space="preserve">Disputes about whether items were collected, delivered or returned are common in delivery businesses, and cash is involved.</w:t>
      </w:r>
    </w:p>
    <w:p>
      <w:pPr>
        <w:pStyle w:val="Heading2"/>
      </w:pPr>
      <w:r>
        <w:t xml:space="preserve">Decision</w:t>
      </w:r>
    </w:p>
    <w:p>
      <w:pPr>
        <w:keepNext w:val="false"/>
        <w:spacing w:after="120" w:before="0"/>
      </w:pPr>
      <w:r>
        <w:t xml:space="preserve">Each delivery has three 4-digit single-use codes: the seller gives the pickup code to the rider, the customer gives the drop-off code to the rider, and the store confirms returns with a return code. Codes are stored hashed and lock after 5 wrong attempts.</w:t>
      </w:r>
    </w:p>
    <w:p>
      <w:pPr>
        <w:pStyle w:val="Heading2"/>
      </w:pPr>
      <w:r>
        <w:t xml:space="preserve">Consequences</w:t>
      </w:r>
    </w:p>
    <w:p>
      <w:pPr>
        <w:pStyle w:val="ListParagraph"/>
        <w:numPr>
          <w:ilvl w:val="0"/>
          <w:numId w:val="3"/>
        </w:numPr>
        <w:spacing w:after="50"/>
      </w:pPr>
      <w:r>
        <w:t xml:space="preserve">Positive: proof of each handover; fewer disputes; supports COD reconciliation.</w:t>
      </w:r>
    </w:p>
    <w:p>
      <w:pPr>
        <w:pStyle w:val="ListParagraph"/>
        <w:numPr>
          <w:ilvl w:val="0"/>
          <w:numId w:val="3"/>
        </w:numPr>
        <w:spacing w:after="50"/>
      </w:pPr>
      <w:r>
        <w:t xml:space="preserve">Negative: an extra step at each handover; lost codes need a support path.</w:t>
      </w:r>
    </w:p>
    <w:p>
      <w:pPr>
        <w:pStyle w:val="ListParagraph"/>
        <w:numPr>
          <w:ilvl w:val="0"/>
          <w:numId w:val="3"/>
        </w:numPr>
        <w:spacing w:after="50"/>
      </w:pPr>
      <w:r>
        <w:t xml:space="preserve">Follow-up: ops can reissue a code after verifying identity by phone; every reissue is audited.</w:t>
      </w:r>
    </w:p>
    <w:p>
      <w:pPr>
        <w:pStyle w:val="Heading1"/>
        <w:pageBreakBefore/>
      </w:pPr>
      <w:r>
        <w:t xml:space="preserve">ADR-013: Kleim brand identity: blue and pink theme from the logo</w:t>
      </w:r>
    </w:p>
    <w:p>
      <w:pPr>
        <w:pStyle w:val="ListParagraph"/>
        <w:numPr>
          <w:ilvl w:val="0"/>
          <w:numId w:val="3"/>
        </w:numPr>
        <w:spacing w:after="50"/>
      </w:pPr>
      <w:r>
        <w:rPr>
          <w:b/>
          <w:bCs/>
        </w:rPr>
        <w:t xml:space="preserve">Status:</w:t>
      </w:r>
      <w:r>
        <w:t xml:space="preserve"> Accepted</w:t>
      </w:r>
    </w:p>
    <w:p>
      <w:pPr>
        <w:pStyle w:val="ListParagraph"/>
        <w:numPr>
          <w:ilvl w:val="0"/>
          <w:numId w:val="3"/>
        </w:numPr>
        <w:spacing w:after="50"/>
      </w:pPr>
      <w:r>
        <w:rPr>
          <w:b/>
          <w:bCs/>
        </w:rPr>
        <w:t xml:space="preserve">Date:</w:t>
      </w:r>
      <w:r>
        <w:t xml:space="preserve"> [date]</w:t>
      </w:r>
    </w:p>
    <w:p>
      <w:pPr>
        <w:pStyle w:val="ListParagraph"/>
        <w:numPr>
          <w:ilvl w:val="0"/>
          <w:numId w:val="3"/>
        </w:numPr>
        <w:spacing w:after="50"/>
      </w:pPr>
      <w:r>
        <w:rPr>
          <w:b/>
          <w:bCs/>
        </w:rPr>
        <w:t xml:space="preserve">Related:</w:t>
      </w:r>
      <w:r>
        <w:t xml:space="preserve"> UI/UX Style Guide §2 and §4; SDD §20</w:t>
      </w:r>
    </w:p>
    <w:p>
      <w:pPr>
        <w:pStyle w:val="Heading2"/>
      </w:pPr>
      <w:r>
        <w:t xml:space="preserve">Context</w:t>
      </w:r>
    </w:p>
    <w:p>
      <w:pPr>
        <w:keepNext w:val="false"/>
        <w:spacing w:after="120" w:before="0"/>
      </w:pPr>
      <w:r>
        <w:t xml:space="preserve">The first prototypes used a placeholder warm-neutral theme with a wine accent and a serif display font. The team has since chosen the name Kleim and a logo: a K built from a deep-to-sky blue gradient with a hot-pink ribbon.</w:t>
      </w:r>
    </w:p>
    <w:p>
      <w:pPr>
        <w:pStyle w:val="Heading2"/>
      </w:pPr>
      <w:r>
        <w:t xml:space="preserve">Decision</w:t>
      </w:r>
    </w:p>
    <w:p>
      <w:pPr>
        <w:keepNext w:val="false"/>
        <w:spacing w:after="120" w:before="0"/>
      </w:pPr>
      <w:r>
        <w:t xml:space="preserve">Adopt a theme taken directly from the logo. Kleim Blue 700 (#0043D5) is the primary action colour; Blue 600 (#0060F3) marks links and selection; Pink 500 (#FC4B98) is a small accent for hearts, badges and urgency, with Pink 700 (#B8176A) for any pink text. The blue gradient is reserved for one hero moment per screen. Plus Jakarta Sans replaces Fraunces and DM Sans as the single type family. Light and dark themes are both supported.</w:t>
      </w:r>
    </w:p>
    <w:p>
      <w:pPr>
        <w:pStyle w:val="Heading2"/>
      </w:pPr>
      <w:r>
        <w:t xml:space="preserve">Consequences</w:t>
      </w:r>
    </w:p>
    <w:p>
      <w:pPr>
        <w:pStyle w:val="ListParagraph"/>
        <w:numPr>
          <w:ilvl w:val="0"/>
          <w:numId w:val="3"/>
        </w:numPr>
        <w:spacing w:after="50"/>
      </w:pPr>
      <w:r>
        <w:t xml:space="preserve">Positive: one coherent identity across app, documents and marketing; one font family keeps pages lighter.</w:t>
      </w:r>
    </w:p>
    <w:p>
      <w:pPr>
        <w:pStyle w:val="ListParagraph"/>
        <w:numPr>
          <w:ilvl w:val="0"/>
          <w:numId w:val="3"/>
        </w:numPr>
        <w:spacing w:after="50"/>
      </w:pPr>
      <w:r>
        <w:t xml:space="preserve">Negative: blue is common among delivery and payment apps, so the logo and pink accent must carry recognition; pink needs care for contrast.</w:t>
      </w:r>
    </w:p>
    <w:p>
      <w:pPr>
        <w:pStyle w:val="ListParagraph"/>
        <w:numPr>
          <w:ilvl w:val="0"/>
          <w:numId w:val="3"/>
        </w:numPr>
        <w:spacing w:after="50"/>
      </w:pPr>
      <w:r>
        <w:t xml:space="preserve">Follow-up: commission flat two-colour and one-colour versions of the logo before any printing (bags, stickers, receipts).</w:t>
      </w:r>
    </w:p>
    <w:p>
      <w:pPr>
        <w:pStyle w:val="Heading2"/>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tblHeader/>
        </w:trPr>
        <w:tc>
          <w:tcPr>
            <w:tcW w:type="dxa" w:w="3510"/>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5850"/>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Why not chosen</w:t>
            </w:r>
          </w:p>
        </w:tc>
      </w:tr>
      <w:tr>
        <w:trPr>
          <w:cantSplit/>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Keep the warm wine theme</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Clashes with the logo colours</w:t>
            </w:r>
          </w:p>
        </w:tc>
      </w:tr>
      <w:tr>
        <w:trPr>
          <w:cantSplit/>
        </w:trPr>
        <w:tc>
          <w:tcPr>
            <w:tcW w:type="dxa" w:w="351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Pink as the primary action colour</w:t>
            </w:r>
          </w:p>
        </w:tc>
        <w:tc>
          <w:tcPr>
            <w:tcW w:type="dxa" w:w="585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White text on the logo pink fails contrast; pink everywhere loses its impact</w:t>
            </w:r>
          </w:p>
        </w:tc>
      </w:tr>
    </w:tbl>
    <w:p>
      <w:pPr>
        <w:spacing w:after="100"/>
      </w:pPr>
    </w:p>
    <w:p>
      <w:pPr>
        <w:pStyle w:val="Heading1"/>
        <w:pageBreakBefore/>
      </w:pPr>
      <w:r>
        <w:t xml:space="preserve">ADR template (ADR-000)</w:t>
      </w:r>
    </w:p>
    <w:p>
      <w:pPr>
        <w:keepNext w:val="false"/>
        <w:spacing w:after="120" w:before="0"/>
      </w:pPr>
      <w:r>
        <w:t xml:space="preserve">Copy this structure for every new record.</w:t>
      </w:r>
    </w:p>
    <w:p>
      <w:pPr>
        <w:pStyle w:val="Heading2"/>
      </w:pPr>
      <w:r>
        <w:t xml:space="preserve">ADR-NNN: Title in a few words</w:t>
      </w:r>
    </w:p>
    <w:p>
      <w:pPr>
        <w:pStyle w:val="ListParagraph"/>
        <w:numPr>
          <w:ilvl w:val="0"/>
          <w:numId w:val="3"/>
        </w:numPr>
        <w:spacing w:after="50"/>
      </w:pPr>
      <w:r>
        <w:rPr>
          <w:b/>
          <w:bCs/>
        </w:rPr>
        <w:t xml:space="preserve">Status:</w:t>
      </w:r>
      <w:r>
        <w:t xml:space="preserve"> Proposed | Accepted | Superseded by ADR-XXX</w:t>
      </w:r>
    </w:p>
    <w:p>
      <w:pPr>
        <w:pStyle w:val="ListParagraph"/>
        <w:numPr>
          <w:ilvl w:val="0"/>
          <w:numId w:val="3"/>
        </w:numPr>
        <w:spacing w:after="50"/>
      </w:pPr>
      <w:r>
        <w:rPr>
          <w:b/>
          <w:bCs/>
        </w:rPr>
        <w:t xml:space="preserve">Date:</w:t>
      </w:r>
      <w:r>
        <w:t xml:space="preserve"> YYYY-MM-DD</w:t>
      </w:r>
    </w:p>
    <w:p>
      <w:pPr>
        <w:pStyle w:val="ListParagraph"/>
        <w:numPr>
          <w:ilvl w:val="0"/>
          <w:numId w:val="3"/>
        </w:numPr>
        <w:spacing w:after="50"/>
      </w:pPr>
      <w:r>
        <w:rPr>
          <w:b/>
          <w:bCs/>
        </w:rPr>
        <w:t xml:space="preserve">Deciders:</w:t>
      </w:r>
      <w:r>
        <w:t xml:space="preserve"> names</w:t>
      </w:r>
    </w:p>
    <w:p>
      <w:pPr>
        <w:pStyle w:val="ListParagraph"/>
        <w:numPr>
          <w:ilvl w:val="0"/>
          <w:numId w:val="3"/>
        </w:numPr>
        <w:spacing w:after="50"/>
      </w:pPr>
      <w:r>
        <w:rPr>
          <w:b/>
          <w:bCs/>
        </w:rPr>
        <w:t xml:space="preserve">Related:</w:t>
      </w:r>
      <w:r>
        <w:t xml:space="preserve"> SDD section, Implementation Plan module</w:t>
      </w:r>
    </w:p>
    <w:p>
      <w:pPr>
        <w:pStyle w:val="Heading3"/>
      </w:pPr>
      <w:r>
        <w:t xml:space="preserve">Context</w:t>
      </w:r>
    </w:p>
    <w:p>
      <w:pPr>
        <w:keepNext w:val="false"/>
        <w:spacing w:after="120" w:before="0"/>
      </w:pPr>
      <w:r>
        <w:t xml:space="preserve">What problem are we solving? What forces and constraints apply (users, time, cost, skills, Kampala realities)?</w:t>
      </w:r>
    </w:p>
    <w:p>
      <w:pPr>
        <w:pStyle w:val="Heading3"/>
      </w:pPr>
      <w:r>
        <w:t xml:space="preserve">Decision</w:t>
      </w:r>
    </w:p>
    <w:p>
      <w:pPr>
        <w:keepNext w:val="false"/>
        <w:spacing w:after="120" w:before="0"/>
      </w:pPr>
      <w:r>
        <w:t xml:space="preserve">The choice we made, stated in one or two sentences, then any details needed to apply it.</w:t>
      </w:r>
    </w:p>
    <w:p>
      <w:pPr>
        <w:pStyle w:val="Heading3"/>
      </w:pPr>
      <w:r>
        <w:t xml:space="preserve">Consequences</w:t>
      </w:r>
    </w:p>
    <w:p>
      <w:pPr>
        <w:pStyle w:val="ListParagraph"/>
        <w:numPr>
          <w:ilvl w:val="0"/>
          <w:numId w:val="3"/>
        </w:numPr>
        <w:spacing w:after="50"/>
      </w:pPr>
      <w:r>
        <w:t xml:space="preserve">Positive: what gets easier.</w:t>
      </w:r>
    </w:p>
    <w:p>
      <w:pPr>
        <w:pStyle w:val="ListParagraph"/>
        <w:numPr>
          <w:ilvl w:val="0"/>
          <w:numId w:val="3"/>
        </w:numPr>
        <w:spacing w:after="50"/>
      </w:pPr>
      <w:r>
        <w:t xml:space="preserve">Negative: what gets harder or what we give up.</w:t>
      </w:r>
    </w:p>
    <w:p>
      <w:pPr>
        <w:pStyle w:val="ListParagraph"/>
        <w:numPr>
          <w:ilvl w:val="0"/>
          <w:numId w:val="3"/>
        </w:numPr>
        <w:spacing w:after="50"/>
      </w:pPr>
      <w:r>
        <w:t xml:space="preserve">Follow-up: tasks or checks this decision creates.</w:t>
      </w:r>
    </w:p>
    <w:p>
      <w:pPr>
        <w:pStyle w:val="Heading3"/>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Option</w:t>
            </w:r>
          </w:p>
        </w:tc>
        <w:tc>
          <w:tcPr>
            <w:tcW w:type="dxa" w:w="6552"/>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Why not chosen</w:t>
            </w:r>
          </w:p>
        </w:tc>
      </w:tr>
      <w:tr>
        <w:trPr>
          <w:cantSplit/>
        </w:trPr>
        <w:tc>
          <w:tcPr>
            <w:tcW w:type="dxa" w:w="280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t>
            </w:r>
          </w:p>
        </w:tc>
        <w:tc>
          <w:tcPr>
            <w:tcW w:type="dxa" w:w="655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t>
            </w:r>
          </w:p>
        </w:tc>
      </w:tr>
    </w:tbl>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Kleim — Architecture Decision Records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43D5" w:sz="6" w:space="4"/>
      </w:pBdr>
      <w:spacing w:after="160" w:before="240"/>
      <w:outlineLvl w:val="0"/>
    </w:pPr>
    <w:rPr>
      <w:rFonts w:ascii="Calibri" w:cs="Calibri" w:eastAsia="Calibri" w:hAnsi="Calibri"/>
      <w:b/>
      <w:bCs/>
      <w:color w:val="0043D5"/>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0043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eb62f813b0d0b04f67d2ea3262809367c3f5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Decision Records</dc:title>
  <dc:creator>Kleim Team</dc:creator>
  <cp:lastModifiedBy>Un-named</cp:lastModifiedBy>
  <cp:revision>1</cp:revision>
  <dcterms:created xsi:type="dcterms:W3CDTF">2026-09-27T16:53:41.186Z</dcterms:created>
  <dcterms:modified xsi:type="dcterms:W3CDTF">2026-09-27T16:53:41.186Z</dcterms:modified>
</cp:coreProperties>
</file>

<file path=docProps/custom.xml><?xml version="1.0" encoding="utf-8"?>
<Properties xmlns="http://schemas.openxmlformats.org/officeDocument/2006/custom-properties" xmlns:vt="http://schemas.openxmlformats.org/officeDocument/2006/docPropsVTypes"/>
</file>