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spacing w:line="264" w:lineRule="auto" w:before="0" w:after="280"/>
      </w:pPr>
      <w:r>
        <w:t>Called to Thrive Software Design Document</w:t>
      </w:r>
    </w:p>
    <w:p>
      <w:pPr>
        <w:pStyle w:val="Subtitle"/>
        <w:keepLines/>
        <w:spacing w:line="264" w:lineRule="auto" w:before="0" w:after="120"/>
      </w:pPr>
      <w:r>
        <w:t>Called to Thrive Uganda | Version 1.0 | 3 October 2026</w:t>
      </w:r>
    </w:p>
    <w:p>
      <w:pPr>
        <w:keepLines/>
        <w:spacing w:line="264" w:lineRule="auto" w:before="0" w:after="120"/>
      </w:pPr>
      <w:r>
        <w:t>Status: Proposed baseline for review. Prepared for the programme owner and development team. No stakeholder approval, production deployment or completed testing is claimed.</w:t>
      </w:r>
    </w:p>
    <w:p>
      <w:pPr>
        <w:keepLines/>
        <w:spacing w:line="264" w:lineRule="auto" w:before="0" w:after="120"/>
      </w:pPr>
      <w:r>
        <w:t>This document translates the requirements into application structure, data flows, interfaces and consistency rules. It extends the existing database design without introducing extra platform services.</w:t>
      </w:r>
    </w:p>
    <w:p>
      <w:pPr>
        <w:pStyle w:val="Heading1"/>
        <w:keepNext/>
        <w:keepLines/>
        <w:spacing w:line="264" w:lineRule="auto" w:before="240" w:after="120"/>
      </w:pPr>
      <w:r>
        <w:t>Architecture</w:t>
      </w:r>
    </w:p>
    <w:p>
      <w:pPr>
        <w:keepLines/>
        <w:spacing w:line="264" w:lineRule="auto" w:before="0" w:after="120"/>
      </w:pPr>
      <w:r>
        <w:t>Use one modular web application and one relational database. A server-rendered mobile interface with small interactive components is the proposed V1 approach. Separate service classes by domain inside one deployable application. Laravel with Blade and PostgreSQL is a candidate implementation, not a selected or version-pinned commitment; this design also supports an equivalent framework. No microservices or separate SPA are required.</w:t>
      </w:r>
    </w:p>
    <w:tbl>
      <w:tblPr>
        <w:tblW w:type="auto" w:w="0"/>
        <w:tblLayout w:type="fixed"/>
        <w:tblLook w:firstColumn="1" w:firstRow="1" w:lastColumn="0" w:lastRow="0" w:noHBand="0" w:noVBand="1" w:val="04A0"/>
      </w:tblPr>
      <w:tblGrid>
        <w:gridCol w:w="2160"/>
        <w:gridCol w:w="7632"/>
      </w:tblGrid>
      <w:tr>
        <w:trPr>
          <w:cantSplit/>
          <w:tblHeader/>
        </w:trPr>
        <w:tc>
          <w:tcPr>
            <w:tcW w:type="dxa" w:w="2160"/>
            <w:tcBorders>
              <w:top w:val="single" w:sz="4" w:color="D9D9D9"/>
              <w:left w:val="single" w:sz="4" w:color="D9D9D9"/>
              <w:bottom w:val="single" w:sz="4" w:color="D9D9D9"/>
              <w:right w:val="single" w:sz="4" w:color="D9D9D9"/>
            </w:tcBorders>
            <w:shd w:fill="DCE6F1"/>
          </w:tcPr>
          <w:p>
            <w:pPr>
              <w:spacing w:after="80" w:before="80" w:line="264" w:lineRule="auto"/>
            </w:pPr>
            <w:r>
              <w:rPr>
                <w:b/>
                <w:sz w:val="20"/>
              </w:rPr>
              <w:t>Layer</w:t>
            </w:r>
          </w:p>
        </w:tc>
        <w:tc>
          <w:tcPr>
            <w:tcW w:type="dxa" w:w="7632"/>
            <w:tcBorders>
              <w:top w:val="single" w:sz="4" w:color="D9D9D9"/>
              <w:left w:val="single" w:sz="4" w:color="D9D9D9"/>
              <w:bottom w:val="single" w:sz="4" w:color="D9D9D9"/>
              <w:right w:val="single" w:sz="4" w:color="D9D9D9"/>
            </w:tcBorders>
            <w:shd w:fill="DCE6F1"/>
          </w:tcPr>
          <w:p>
            <w:pPr>
              <w:spacing w:after="80" w:before="80" w:line="264" w:lineRule="auto"/>
            </w:pPr>
            <w:r>
              <w:rPr>
                <w:b/>
                <w:sz w:val="20"/>
              </w:rPr>
              <w:t>Responsibility</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Presentation</w:t>
            </w:r>
          </w:p>
        </w:tc>
        <w:tc>
          <w:tcPr>
            <w:tcW w:type="dxa" w:w="7632"/>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Role-specific pages, validated input, explicit save state, local timezone display.</w:t>
            </w:r>
          </w:p>
        </w:tc>
      </w:tr>
      <w:tr>
        <w:trPr>
          <w:cantSplit/>
        </w:trPr>
        <w:tc>
          <w:tcPr>
            <w:tcW w:type="dxa" w:w="2160"/>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Application services</w:t>
            </w:r>
          </w:p>
        </w:tc>
        <w:tc>
          <w:tcPr>
            <w:tcW w:type="dxa" w:w="7632"/>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Cohort joins, submission, scoring, attendance finalization, project completion and export orchestration.</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Authorization policies</w:t>
            </w:r>
          </w:p>
        </w:tc>
        <w:tc>
          <w:tcPr>
            <w:tcW w:type="dxa" w:w="7632"/>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Identity, approved role, assigned cohort, own enrollment, project membership and component visibility.</w:t>
            </w:r>
          </w:p>
        </w:tc>
      </w:tr>
      <w:tr>
        <w:trPr>
          <w:cantSplit/>
        </w:trPr>
        <w:tc>
          <w:tcPr>
            <w:tcW w:type="dxa" w:w="2160"/>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Persistence</w:t>
            </w:r>
          </w:p>
        </w:tc>
        <w:tc>
          <w:tcPr>
            <w:tcW w:type="dxa" w:w="7632"/>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Foreign keys, unique constraints, cross-scope guards, transactions and revisions.</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Operations</w:t>
            </w:r>
          </w:p>
        </w:tc>
        <w:tc>
          <w:tcPr>
            <w:tcW w:type="dxa" w:w="7632"/>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TLS termination, secrets, migrations, backup, monitoring and standard authentication notifications.</w:t>
            </w:r>
          </w:p>
        </w:tc>
      </w:tr>
    </w:tbl>
    <w:p>
      <w:pPr>
        <w:keepLines/>
        <w:spacing w:line="264" w:lineRule="auto" w:before="0" w:after="120"/>
      </w:pPr>
    </w:p>
    <w:p>
      <w:pPr>
        <w:pStyle w:val="Heading1"/>
        <w:keepNext/>
        <w:keepLines/>
        <w:spacing w:line="264" w:lineRule="auto" w:before="240" w:after="120"/>
      </w:pPr>
      <w:r>
        <w:t>Domain modules</w:t>
      </w:r>
    </w:p>
    <w:tbl>
      <w:tblPr>
        <w:tblW w:type="auto" w:w="0"/>
        <w:tblLayout w:type="fixed"/>
        <w:tblLook w:firstColumn="1" w:firstRow="1" w:lastColumn="0" w:lastRow="0" w:noHBand="0" w:noVBand="1" w:val="04A0"/>
      </w:tblPr>
      <w:tblGrid>
        <w:gridCol w:w="1512"/>
        <w:gridCol w:w="3816"/>
        <w:gridCol w:w="4464"/>
      </w:tblGrid>
      <w:tr>
        <w:trPr>
          <w:cantSplit/>
          <w:tblHeader/>
        </w:trPr>
        <w:tc>
          <w:tcPr>
            <w:tcW w:type="dxa" w:w="1512"/>
            <w:tcBorders>
              <w:top w:val="single" w:sz="4" w:color="D9D9D9"/>
              <w:left w:val="single" w:sz="4" w:color="D9D9D9"/>
              <w:bottom w:val="single" w:sz="4" w:color="D9D9D9"/>
              <w:right w:val="single" w:sz="4" w:color="D9D9D9"/>
            </w:tcBorders>
            <w:shd w:fill="DCE6F1"/>
          </w:tcPr>
          <w:p>
            <w:pPr>
              <w:spacing w:after="80" w:before="80" w:line="264" w:lineRule="auto"/>
            </w:pPr>
            <w:r>
              <w:rPr>
                <w:b/>
                <w:sz w:val="20"/>
              </w:rPr>
              <w:t>Module</w:t>
            </w:r>
          </w:p>
        </w:tc>
        <w:tc>
          <w:tcPr>
            <w:tcW w:type="dxa" w:w="3816"/>
            <w:tcBorders>
              <w:top w:val="single" w:sz="4" w:color="D9D9D9"/>
              <w:left w:val="single" w:sz="4" w:color="D9D9D9"/>
              <w:bottom w:val="single" w:sz="4" w:color="D9D9D9"/>
              <w:right w:val="single" w:sz="4" w:color="D9D9D9"/>
            </w:tcBorders>
            <w:shd w:fill="DCE6F1"/>
          </w:tcPr>
          <w:p>
            <w:pPr>
              <w:spacing w:after="80" w:before="80" w:line="264" w:lineRule="auto"/>
            </w:pPr>
            <w:r>
              <w:rPr>
                <w:b/>
                <w:sz w:val="20"/>
              </w:rPr>
              <w:t>Key records</w:t>
            </w:r>
          </w:p>
        </w:tc>
        <w:tc>
          <w:tcPr>
            <w:tcW w:type="dxa" w:w="4464"/>
            <w:tcBorders>
              <w:top w:val="single" w:sz="4" w:color="D9D9D9"/>
              <w:left w:val="single" w:sz="4" w:color="D9D9D9"/>
              <w:bottom w:val="single" w:sz="4" w:color="D9D9D9"/>
              <w:right w:val="single" w:sz="4" w:color="D9D9D9"/>
            </w:tcBorders>
            <w:shd w:fill="DCE6F1"/>
          </w:tcPr>
          <w:p>
            <w:pPr>
              <w:spacing w:after="80" w:before="80" w:line="264" w:lineRule="auto"/>
            </w:pPr>
            <w:r>
              <w:rPr>
                <w:b/>
                <w:sz w:val="20"/>
              </w:rPr>
              <w:t>Responsibility</w:t>
            </w:r>
          </w:p>
        </w:tc>
      </w:tr>
      <w:tr>
        <w:trPr>
          <w:cantSplit/>
        </w:trPr>
        <w:tc>
          <w:tcPr>
            <w:tcW w:type="dxa" w:w="1512"/>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Identity</w:t>
            </w:r>
          </w:p>
        </w:tc>
        <w:tc>
          <w:tcPr>
            <w:tcW w:type="dxa" w:w="3816"/>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users, roles, profiles</w:t>
            </w:r>
          </w:p>
        </w:tc>
        <w:tc>
          <w:tcPr>
            <w:tcW w:type="dxa" w:w="4464"/>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Authentication, recovery, approval and role control.</w:t>
            </w:r>
          </w:p>
        </w:tc>
      </w:tr>
      <w:tr>
        <w:trPr>
          <w:cantSplit/>
        </w:trPr>
        <w:tc>
          <w:tcPr>
            <w:tcW w:type="dxa" w:w="1512"/>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Programme</w:t>
            </w:r>
          </w:p>
        </w:tc>
        <w:tc>
          <w:tcPr>
            <w:tcW w:type="dxa" w:w="3816"/>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regions, districts, partners, affiliations</w:t>
            </w:r>
          </w:p>
        </w:tc>
        <w:tc>
          <w:tcPr>
            <w:tcW w:type="dxa" w:w="4464"/>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Geographic and organizational ownership.</w:t>
            </w:r>
          </w:p>
        </w:tc>
      </w:tr>
      <w:tr>
        <w:trPr>
          <w:cantSplit/>
        </w:trPr>
        <w:tc>
          <w:tcPr>
            <w:tcW w:type="dxa" w:w="1512"/>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Cohorts</w:t>
            </w:r>
          </w:p>
        </w:tc>
        <w:tc>
          <w:tcPr>
            <w:tcW w:type="dxa" w:w="3816"/>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cohorts, facilitators, invites, enrollments</w:t>
            </w:r>
          </w:p>
        </w:tc>
        <w:tc>
          <w:tcPr>
            <w:tcW w:type="dxa" w:w="4464"/>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Membership, scoped leadership and version selection.</w:t>
            </w:r>
          </w:p>
        </w:tc>
      </w:tr>
      <w:tr>
        <w:trPr>
          <w:cantSplit/>
        </w:trPr>
        <w:tc>
          <w:tcPr>
            <w:tcW w:type="dxa" w:w="1512"/>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Sessions</w:t>
            </w:r>
          </w:p>
        </w:tc>
        <w:tc>
          <w:tcPr>
            <w:tcW w:type="dxa" w:w="3816"/>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sessions, attendance</w:t>
            </w:r>
          </w:p>
        </w:tc>
        <w:tc>
          <w:tcPr>
            <w:tcW w:type="dxa" w:w="4464"/>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Scheduling, external Meet links and participation.</w:t>
            </w:r>
          </w:p>
        </w:tc>
      </w:tr>
      <w:tr>
        <w:trPr>
          <w:cantSplit/>
        </w:trPr>
        <w:tc>
          <w:tcPr>
            <w:tcW w:type="dxa" w:w="1512"/>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Learning</w:t>
            </w:r>
          </w:p>
        </w:tc>
        <w:tc>
          <w:tcPr>
            <w:tcW w:type="dxa" w:w="3816"/>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versions, lessons, components, responses, progress</w:t>
            </w:r>
          </w:p>
        </w:tc>
        <w:tc>
          <w:tcPr>
            <w:tcW w:type="dxa" w:w="4464"/>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Approved content, typed work and completion.</w:t>
            </w:r>
          </w:p>
        </w:tc>
      </w:tr>
      <w:tr>
        <w:trPr>
          <w:cantSplit/>
        </w:trPr>
        <w:tc>
          <w:tcPr>
            <w:tcW w:type="dxa" w:w="1512"/>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Assessment</w:t>
            </w:r>
          </w:p>
        </w:tc>
        <w:tc>
          <w:tcPr>
            <w:tcW w:type="dxa" w:w="3816"/>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definitions, categories, questions, attempts, answers, scores</w:t>
            </w:r>
          </w:p>
        </w:tc>
        <w:tc>
          <w:tcPr>
            <w:tcW w:type="dxa" w:w="4464"/>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Versioned career quiz calculation.</w:t>
            </w:r>
          </w:p>
        </w:tc>
      </w:tr>
      <w:tr>
        <w:trPr>
          <w:cantSplit/>
        </w:trPr>
        <w:tc>
          <w:tcPr>
            <w:tcW w:type="dxa" w:w="1512"/>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Projects</w:t>
            </w:r>
          </w:p>
        </w:tc>
        <w:tc>
          <w:tcPr>
            <w:tcW w:type="dxa" w:w="3816"/>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projects, members, goals, actions, tasks, evaluations</w:t>
            </w:r>
          </w:p>
        </w:tc>
        <w:tc>
          <w:tcPr>
            <w:tcW w:type="dxa" w:w="4464"/>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Curriculum-bound collaboration.</w:t>
            </w:r>
          </w:p>
        </w:tc>
      </w:tr>
      <w:tr>
        <w:trPr>
          <w:cantSplit/>
        </w:trPr>
        <w:tc>
          <w:tcPr>
            <w:tcW w:type="dxa" w:w="1512"/>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Reporting</w:t>
            </w:r>
          </w:p>
        </w:tc>
        <w:tc>
          <w:tcPr>
            <w:tcW w:type="dxa" w:w="3816"/>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views and authorized export service</w:t>
            </w:r>
          </w:p>
        </w:tc>
        <w:tc>
          <w:tcPr>
            <w:tcW w:type="dxa" w:w="4464"/>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Programme metrics without private response payloads.</w:t>
            </w:r>
          </w:p>
        </w:tc>
      </w:tr>
    </w:tbl>
    <w:p>
      <w:pPr>
        <w:keepLines/>
        <w:spacing w:line="264" w:lineRule="auto" w:before="0" w:after="120"/>
      </w:pPr>
    </w:p>
    <w:p>
      <w:pPr>
        <w:pStyle w:val="Heading1"/>
        <w:keepNext/>
        <w:keepLines/>
        <w:spacing w:line="264" w:lineRule="auto" w:before="240" w:after="120"/>
      </w:pPr>
      <w:r>
        <w:t>Screen and navigation inventory</w:t>
      </w:r>
    </w:p>
    <w:p>
      <w:pPr>
        <w:pStyle w:val="ListBullet"/>
        <w:keepLines/>
        <w:spacing w:line="264" w:lineRule="auto" w:before="0" w:after="120"/>
      </w:pPr>
      <w:r>
        <w:t>Shared: sign in, account creation, contact verification, recovery, profile and role switch when applicable.</w:t>
      </w:r>
    </w:p>
    <w:p>
      <w:pPr>
        <w:pStyle w:val="ListBullet"/>
        <w:keepLines/>
        <w:spacing w:line="264" w:lineRule="auto" w:before="0" w:after="120"/>
      </w:pPr>
      <w:r>
        <w:t>Participant: cohort preview/join, home and upcoming session, lesson journey, lesson reader and activities, quiz/results, team project and tasks, evaluation and completion summary.</w:t>
      </w:r>
    </w:p>
    <w:p>
      <w:pPr>
        <w:pStyle w:val="ListBullet"/>
        <w:keepLines/>
        <w:spacing w:line="264" w:lineRule="auto" w:before="0" w:after="120"/>
      </w:pPr>
      <w:r>
        <w:t>Facilitator: cohort list/create, overview, roster and participant progress, invite management, session schedule, lesson guide, attendance, project oversight and completion review.</w:t>
      </w:r>
    </w:p>
    <w:p>
      <w:pPr>
        <w:pStyle w:val="ListBullet"/>
        <w:keepLines/>
        <w:spacing w:line="264" w:lineRule="auto" w:before="0" w:after="120"/>
      </w:pPr>
      <w:r>
        <w:t>Admin: programme dashboard, partners/affiliations, facilitator approvals, cohort summaries, filtered reports and export. Published curriculum updates use a reviewed content import process rather than a generic course builder.</w:t>
      </w:r>
    </w:p>
    <w:p>
      <w:pPr>
        <w:pStyle w:val="Heading1"/>
        <w:keepNext/>
        <w:keepLines/>
        <w:spacing w:line="264" w:lineRule="auto" w:before="240" w:after="120"/>
      </w:pPr>
      <w:r>
        <w:t>Service contracts</w:t>
      </w:r>
    </w:p>
    <w:tbl>
      <w:tblPr>
        <w:tblW w:type="auto" w:w="0"/>
        <w:tblLayout w:type="fixed"/>
        <w:tblLook w:firstColumn="1" w:firstRow="1" w:lastColumn="0" w:lastRow="0" w:noHBand="0" w:noVBand="1" w:val="04A0"/>
      </w:tblPr>
      <w:tblGrid>
        <w:gridCol w:w="3960"/>
        <w:gridCol w:w="5832"/>
      </w:tblGrid>
      <w:tr>
        <w:trPr>
          <w:cantSplit/>
          <w:tblHeader/>
        </w:trPr>
        <w:tc>
          <w:tcPr>
            <w:tcW w:type="dxa" w:w="3960"/>
            <w:tcBorders>
              <w:top w:val="single" w:sz="4" w:color="D9D9D9"/>
              <w:left w:val="single" w:sz="4" w:color="D9D9D9"/>
              <w:bottom w:val="single" w:sz="4" w:color="D9D9D9"/>
              <w:right w:val="single" w:sz="4" w:color="D9D9D9"/>
            </w:tcBorders>
            <w:shd w:fill="DCE6F1"/>
          </w:tcPr>
          <w:p>
            <w:pPr>
              <w:spacing w:after="80" w:before="80" w:line="264" w:lineRule="auto"/>
            </w:pPr>
            <w:r>
              <w:rPr>
                <w:b/>
                <w:sz w:val="20"/>
              </w:rPr>
              <w:t>Proposed interface</w:t>
            </w:r>
          </w:p>
        </w:tc>
        <w:tc>
          <w:tcPr>
            <w:tcW w:type="dxa" w:w="5832"/>
            <w:tcBorders>
              <w:top w:val="single" w:sz="4" w:color="D9D9D9"/>
              <w:left w:val="single" w:sz="4" w:color="D9D9D9"/>
              <w:bottom w:val="single" w:sz="4" w:color="D9D9D9"/>
              <w:right w:val="single" w:sz="4" w:color="D9D9D9"/>
            </w:tcBorders>
            <w:shd w:fill="DCE6F1"/>
          </w:tcPr>
          <w:p>
            <w:pPr>
              <w:spacing w:after="80" w:before="80" w:line="264" w:lineRule="auto"/>
            </w:pPr>
            <w:r>
              <w:rPr>
                <w:b/>
                <w:sz w:val="20"/>
              </w:rPr>
              <w:t>Request and result</w:t>
            </w:r>
          </w:p>
        </w:tc>
      </w:tr>
      <w:tr>
        <w:trPr>
          <w:cantSplit/>
        </w:trPr>
        <w:tc>
          <w:tcPr>
            <w:tcW w:type="dxa" w:w="3960"/>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POST /cohort-invites/preview</w:t>
            </w:r>
          </w:p>
        </w:tc>
        <w:tc>
          <w:tcPr>
            <w:tcW w:type="dxa" w:w="5832"/>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Invite code; returns safe cohort preview. Does not enroll or leak full roster.</w:t>
            </w:r>
          </w:p>
        </w:tc>
      </w:tr>
      <w:tr>
        <w:trPr>
          <w:cantSplit/>
        </w:trPr>
        <w:tc>
          <w:tcPr>
            <w:tcW w:type="dxa" w:w="3960"/>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POST /cohort-invites/join</w:t>
            </w:r>
          </w:p>
        </w:tc>
        <w:tc>
          <w:tcPr>
            <w:tcW w:type="dxa" w:w="5832"/>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Invite code; returns own enrollment. Atomic capacity check; replay returns existing enrollment.</w:t>
            </w:r>
          </w:p>
        </w:tc>
      </w:tr>
      <w:tr>
        <w:trPr>
          <w:cantSplit/>
        </w:trPr>
        <w:tc>
          <w:tcPr>
            <w:tcW w:type="dxa" w:w="3960"/>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PUT /sessions/{id}/attendance</w:t>
            </w:r>
          </w:p>
        </w:tc>
        <w:tc>
          <w:tcPr>
            <w:tcW w:type="dxa" w:w="5832"/>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Roster statuses plus revision; verifies session assignment and enrollment eligibility.</w:t>
            </w:r>
          </w:p>
        </w:tc>
      </w:tr>
      <w:tr>
        <w:trPr>
          <w:cantSplit/>
        </w:trPr>
        <w:tc>
          <w:tcPr>
            <w:tcW w:type="dxa" w:w="3960"/>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PUT /enrollments/{id}/responses/{component}</w:t>
            </w:r>
          </w:p>
        </w:tc>
        <w:tc>
          <w:tcPr>
            <w:tcW w:type="dxa" w:w="5832"/>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Payload plus expected revision; validates fixed schema and visibility; saves draft.</w:t>
            </w:r>
          </w:p>
        </w:tc>
      </w:tr>
      <w:tr>
        <w:trPr>
          <w:cantSplit/>
        </w:trPr>
        <w:tc>
          <w:tcPr>
            <w:tcW w:type="dxa" w:w="3960"/>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POST /enrollments/{id}/responses/{component}/submit</w:t>
            </w:r>
          </w:p>
        </w:tc>
        <w:tc>
          <w:tcPr>
            <w:tcW w:type="dxa" w:w="5832"/>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Expected revision; validates response and required fields; commits progress with response.</w:t>
            </w:r>
          </w:p>
        </w:tc>
      </w:tr>
      <w:tr>
        <w:trPr>
          <w:cantSplit/>
        </w:trPr>
        <w:tc>
          <w:tcPr>
            <w:tcW w:type="dxa" w:w="3960"/>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POST /assessment-attempts/{id}/submit</w:t>
            </w:r>
          </w:p>
        </w:tc>
        <w:tc>
          <w:tcPr>
            <w:tcW w:type="dxa" w:w="5832"/>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Expected revision; verifies complete answers; computes six scores and completes component.</w:t>
            </w:r>
          </w:p>
        </w:tc>
      </w:tr>
      <w:tr>
        <w:trPr>
          <w:cantSplit/>
        </w:trPr>
        <w:tc>
          <w:tcPr>
            <w:tcW w:type="dxa" w:w="3960"/>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PATCH /projects/{id}/tasks/{task}</w:t>
            </w:r>
          </w:p>
        </w:tc>
        <w:tc>
          <w:tcPr>
            <w:tcW w:type="dxa" w:w="5832"/>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Allowed task fields plus revision; checks project ownership and conflicts.</w:t>
            </w:r>
          </w:p>
        </w:tc>
      </w:tr>
      <w:tr>
        <w:trPr>
          <w:cantSplit/>
        </w:trPr>
        <w:tc>
          <w:tcPr>
            <w:tcW w:type="dxa" w:w="3960"/>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POST /projects/{id}/confirm-completion</w:t>
            </w:r>
          </w:p>
        </w:tc>
        <w:tc>
          <w:tcPr>
            <w:tcW w:type="dxa" w:w="5832"/>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Expected revision and confirmation; validates milestones and facilitator scope.</w:t>
            </w:r>
          </w:p>
        </w:tc>
      </w:tr>
      <w:tr>
        <w:trPr>
          <w:cantSplit/>
        </w:trPr>
        <w:tc>
          <w:tcPr>
            <w:tcW w:type="dxa" w:w="3960"/>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GET /reports/programme and /reports/export</w:t>
            </w:r>
          </w:p>
        </w:tc>
        <w:tc>
          <w:tcPr>
            <w:tcW w:type="dxa" w:w="5832"/>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Allowed filters; returns aggregate or sanitized CSV without answer payloads.</w:t>
            </w:r>
          </w:p>
        </w:tc>
      </w:tr>
    </w:tbl>
    <w:p>
      <w:pPr>
        <w:keepLines/>
        <w:spacing w:line="264" w:lineRule="auto" w:before="0" w:after="120"/>
      </w:pPr>
    </w:p>
    <w:p>
      <w:pPr>
        <w:keepLines/>
        <w:spacing w:line="264" w:lineRule="auto" w:before="0" w:after="120"/>
      </w:pPr>
      <w:r>
        <w:t>These are proposed logical routes, not an implemented API. Successful create uses 201, ordinary reads/updates 200, malformed input 422, unauthorized session 401, forbidden scope 403 or consistently concealed 404, stale revision 409 and throttled request 429. Return structured errors with code, safe message and field details; never include SQL or secrets.</w:t>
      </w:r>
    </w:p>
    <w:p>
      <w:pPr>
        <w:pStyle w:val="Heading1"/>
        <w:keepNext/>
        <w:keepLines/>
        <w:spacing w:line="264" w:lineRule="auto" w:before="240" w:after="120"/>
      </w:pPr>
      <w:r>
        <w:t>Authentication and external links</w:t>
      </w:r>
    </w:p>
    <w:p>
      <w:pPr>
        <w:keepLines/>
        <w:spacing w:line="264" w:lineRule="auto" w:before="0" w:after="120"/>
      </w:pPr>
      <w:r>
        <w:t>Prefer secure server sessions in HttpOnly Secure cookies, CSRF protection for writes, framework password hashing and session rotation after sign-in. Login recovery and invite endpoints are rate-limited. Choose email verification or phone OTP infrastructure before promising both channels. Meet URL validation allows HTTPS on meet.google.com with a meeting path; reject other schemes and hosts. Open external links without sending a platform session token. No Meet API or attendance import is assumed.</w:t>
      </w:r>
    </w:p>
    <w:p>
      <w:pPr>
        <w:pStyle w:val="Heading1"/>
        <w:keepNext/>
        <w:keepLines/>
        <w:spacing w:line="264" w:lineRule="auto" w:before="240" w:after="120"/>
      </w:pPr>
      <w:r>
        <w:t>Persistence and critical transactions</w:t>
      </w:r>
    </w:p>
    <w:p>
      <w:pPr>
        <w:keepLines/>
        <w:spacing w:line="264" w:lineRule="auto" w:before="0" w:after="120"/>
      </w:pPr>
      <w:r>
        <w:t>The accompanying database document remains the table dictionary. Invariants must be enforced by foreign keys, composite constraints or triggers and rechecked in application services. Each mutation validates scope before changing records. Use row locking for invite redemption and optimistic revisions for shared edits.</w:t>
      </w:r>
    </w:p>
    <w:p>
      <w:pPr>
        <w:pStyle w:val="Heading2"/>
        <w:keepNext/>
        <w:keepLines/>
        <w:spacing w:line="264" w:lineRule="auto" w:before="240" w:after="120"/>
      </w:pPr>
      <w:r>
        <w:t>Invite redemption</w:t>
      </w:r>
    </w:p>
    <w:p>
      <w:pPr>
        <w:keepLines/>
        <w:spacing w:line="264" w:lineRule="auto" w:before="0" w:after="120"/>
      </w:pPr>
      <w:r>
        <w:t>Authenticate and validate invite; lock invite; check existing enrollment first; check revocation expiry capacity and cohort eligibility; insert enrollment; increment use count once; commit. Unique enrollment constraint resolves parallel requests.</w:t>
      </w:r>
    </w:p>
    <w:p>
      <w:pPr>
        <w:pStyle w:val="Heading2"/>
        <w:keepNext/>
        <w:keepLines/>
        <w:spacing w:line="264" w:lineRule="auto" w:before="240" w:after="120"/>
      </w:pPr>
      <w:r>
        <w:t>Activity submission</w:t>
      </w:r>
    </w:p>
    <w:p>
      <w:pPr>
        <w:keepLines/>
        <w:spacing w:line="264" w:lineRule="auto" w:before="0" w:after="120"/>
      </w:pPr>
      <w:r>
        <w:t>Authorize own enrollment; check component version; validate expected revision and fixed schema; save response status and timestamp; recompute required component completion and lesson progress; commit together.</w:t>
      </w:r>
    </w:p>
    <w:p>
      <w:pPr>
        <w:pStyle w:val="Heading2"/>
        <w:keepNext/>
        <w:keepLines/>
        <w:spacing w:line="264" w:lineRule="auto" w:before="240" w:after="120"/>
      </w:pPr>
      <w:r>
        <w:t>Quiz submission</w:t>
      </w:r>
    </w:p>
    <w:p>
      <w:pPr>
        <w:keepLines/>
        <w:spacing w:line="264" w:lineRule="auto" w:before="0" w:after="120"/>
      </w:pPr>
      <w:r>
        <w:t>Lock draft attempt; validate all questions belong to assessment and all 24 values are in range; compute four-answer category sums; save immutable scores and mark submitted; complete its component and update progress; commit. Resubmitting an already submitted attempt returns the prior result.</w:t>
      </w:r>
    </w:p>
    <w:p>
      <w:pPr>
        <w:pStyle w:val="Heading2"/>
        <w:keepNext/>
        <w:keepLines/>
        <w:spacing w:line="264" w:lineRule="auto" w:before="240" w:after="120"/>
      </w:pPr>
      <w:r>
        <w:t>Project confirmation</w:t>
      </w:r>
    </w:p>
    <w:p>
      <w:pPr>
        <w:keepLines/>
        <w:spacing w:line="264" w:lineRule="auto" w:before="0" w:after="120"/>
      </w:pPr>
      <w:r>
        <w:t>Authorize assigned lead; verify project membership and policy milestones; confirm evaluation criteria; store confirmer and timestamp; recompute eligible enrollments. Do not assume every team member completed their personal work.</w:t>
      </w:r>
    </w:p>
    <w:p>
      <w:pPr>
        <w:pStyle w:val="Heading1"/>
        <w:keepNext/>
        <w:keepLines/>
        <w:spacing w:line="264" w:lineRule="auto" w:before="240" w:after="120"/>
      </w:pPr>
      <w:r>
        <w:t>Database design refinements</w:t>
      </w:r>
    </w:p>
    <w:p>
      <w:pPr>
        <w:keepLines/>
        <w:spacing w:line="264" w:lineRule="auto" w:before="0" w:after="120"/>
      </w:pPr>
      <w:r>
        <w:t>Before migrations, add revision INTEGER NOT NULL DEFAULT 1 to sessions, projects and project_tasks. Treat sessions.revision as the attendance batch revision and lock that session for bulk attendance writes. Retain existing response and evaluation revisions. Add programme_completion_overrides with id, enrollment_id, authorized_by user_id, reason, created_at and revoked_at; this provides an explicit programme override distinct from a lesson override. Add cohort_status_events with id, cohort_id, from_status, to_status, changed_by user_id, reason and created_at. Both tables use foreign keys and immutable history rows. These are additions to the original blueprint.</w:t>
      </w:r>
    </w:p>
    <w:p>
      <w:pPr>
        <w:pStyle w:val="Heading1"/>
        <w:keepNext/>
        <w:keepLines/>
        <w:spacing w:line="264" w:lineRule="auto" w:before="240" w:after="120"/>
      </w:pPr>
      <w:r>
        <w:t>Completion and response policy</w:t>
      </w:r>
    </w:p>
    <w:p>
      <w:pPr>
        <w:keepLines/>
        <w:spacing w:line="264" w:lineRule="auto" w:before="0" w:after="120"/>
      </w:pPr>
      <w:r>
        <w:t>A published completion policy must define required lesson components, project milestones, evaluation eligibility and override authority. Validate policy on publication. Derived progress is recalculated after related changes and by a reconciliation command. For administered data corrections, record reason and actor; completion reversals must be explicit. Drafts may be edited; submitted answers are immutable until a documented return-to-draft or amendment action. Facilitator corrections never rewrite private participant text.</w:t>
      </w:r>
    </w:p>
    <w:p>
      <w:pPr>
        <w:pStyle w:val="Heading1"/>
        <w:keepNext/>
        <w:keepLines/>
        <w:spacing w:line="264" w:lineRule="auto" w:before="240" w:after="120"/>
      </w:pPr>
      <w:r>
        <w:t>Reporting and privacy</w:t>
      </w:r>
    </w:p>
    <w:p>
      <w:pPr>
        <w:keepLines/>
        <w:spacing w:line="264" w:lineRule="auto" w:before="0" w:after="120"/>
      </w:pPr>
      <w:r>
        <w:t>Pre-aggregate lessons attendance and projects before joining to prevent count inflation. Report enrollment totals separately from distinct participants. Scope delivery geography by cohort. Filters specify intake year versus completion period. Whitelist export columns, strip private payloads and neutralize CSV fields beginning with formula characters. Operational logs record action actor ID resource ID outcome and timestamp; never response contents or raw invite tokens.</w:t>
      </w:r>
    </w:p>
    <w:p>
      <w:pPr>
        <w:pStyle w:val="Heading1"/>
        <w:keepNext/>
        <w:keepLines/>
        <w:spacing w:line="264" w:lineRule="auto" w:before="240" w:after="120"/>
      </w:pPr>
      <w:r>
        <w:t>Failure handling and V1 connectivity</w:t>
      </w:r>
    </w:p>
    <w:p>
      <w:pPr>
        <w:keepLines/>
        <w:spacing w:line="264" w:lineRule="auto" w:before="0" w:after="120"/>
      </w:pPr>
      <w:r>
        <w:t>V1 requires online saves. Preserve unsaved form input during a recoverable network error and provide explicit retry; do not display saved until the server acknowledges. Revisions and replay-safe services prevent duplicates. Avoid caching authenticated personal pages in a service worker. Offline packs and sync require a separate design for conflict resolution device security and deletion propagation.</w:t>
      </w:r>
    </w:p>
    <w:p>
      <w:pPr>
        <w:pStyle w:val="Heading1"/>
        <w:keepNext/>
        <w:keepLines/>
        <w:spacing w:line="264" w:lineRule="auto" w:before="240" w:after="120"/>
      </w:pPr>
      <w:r>
        <w:t>Security and deployment boundaries</w:t>
      </w:r>
    </w:p>
    <w:p>
      <w:pPr>
        <w:keepLines/>
        <w:spacing w:line="264" w:lineRule="auto" w:before="0" w:after="120"/>
      </w:pPr>
      <w:r>
        <w:t>Database is reachable only by the application and authorized operator paths. HTTPS is required. Least-privilege database credentials cannot alter schema during normal application requests. Framework dependencies are pinned during implementation and checked against official documentation. No technology version, provider fee or unverified compatibility claim is included here.</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Called to Thrive   •   Proposed baseline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