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spacing w:line="264" w:lineRule="auto" w:before="0" w:after="280"/>
      </w:pPr>
      <w:r>
        <w:t>Called to Thrive Deployment and Operations Guide</w:t>
      </w:r>
    </w:p>
    <w:p>
      <w:pPr>
        <w:pStyle w:val="Subtitle"/>
        <w:keepLines/>
        <w:spacing w:line="264" w:lineRule="auto" w:before="0" w:after="120"/>
      </w:pPr>
      <w:r>
        <w:t>Called to Thrive Uganda | Version 1.0 | 3 October 2026</w:t>
      </w:r>
    </w:p>
    <w:p>
      <w:pPr>
        <w:keepLines/>
        <w:spacing w:line="264" w:lineRule="auto" w:before="0" w:after="120"/>
      </w:pPr>
      <w:r>
        <w:t>Status: Proposed baseline for review. Prepared for the programme owner and development team. No stakeholder approval, production deployment or completed testing is claimed.</w:t>
      </w:r>
    </w:p>
    <w:p>
      <w:pPr>
        <w:keepLines/>
        <w:spacing w:line="264" w:lineRule="auto" w:before="0" w:after="120"/>
      </w:pPr>
      <w:r>
        <w:t>This runbook defines the operational work needed for a controlled pilot and recoverable release. Hosting provider and runtime versions are intentionally unselected; resolve them during implementation.</w:t>
      </w:r>
    </w:p>
    <w:p>
      <w:pPr>
        <w:pStyle w:val="Heading1"/>
        <w:keepNext/>
        <w:keepLines/>
        <w:spacing w:line="264" w:lineRule="auto" w:before="240" w:after="120"/>
      </w:pPr>
      <w:r>
        <w:t>Environment separation</w:t>
      </w:r>
    </w:p>
    <w:p>
      <w:pPr>
        <w:keepLines/>
        <w:spacing w:line="264" w:lineRule="auto" w:before="0" w:after="120"/>
      </w:pPr>
      <w:r>
        <w:t>Maintain development, staging and production with separate databases credentials and secrets. Use synthetic staging data. Restrict production database access. Disable development debug pages in production. Document application runtime, database version, region, network controls, HTTPS configuration, DNS and support ownership when selected.</w:t>
      </w:r>
    </w:p>
    <w:p>
      <w:pPr>
        <w:pStyle w:val="Heading1"/>
        <w:keepNext/>
        <w:keepLines/>
        <w:spacing w:line="264" w:lineRule="auto" w:before="240" w:after="120"/>
      </w:pPr>
      <w:r>
        <w:t>Configuration inventory</w:t>
      </w:r>
    </w:p>
    <w:tbl>
      <w:tblPr>
        <w:tblW w:type="auto" w:w="0"/>
        <w:tblLayout w:type="fixed"/>
        <w:tblLook w:firstColumn="1" w:firstRow="1" w:lastColumn="0" w:lastRow="0" w:noHBand="0" w:noVBand="1" w:val="04A0"/>
      </w:tblPr>
      <w:tblGrid>
        <w:gridCol w:w="3024"/>
        <w:gridCol w:w="6768"/>
      </w:tblGrid>
      <w:tr>
        <w:trPr>
          <w:cantSplit/>
          <w:tblHeader/>
        </w:trPr>
        <w:tc>
          <w:tcPr>
            <w:tcW w:type="dxa" w:w="3024"/>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Setting</w:t>
            </w:r>
          </w:p>
        </w:tc>
        <w:tc>
          <w:tcPr>
            <w:tcW w:type="dxa" w:w="6768"/>
            <w:tcBorders>
              <w:top w:val="single" w:sz="4" w:color="D9D9D9"/>
              <w:left w:val="single" w:sz="4" w:color="D9D9D9"/>
              <w:bottom w:val="single" w:sz="4" w:color="D9D9D9"/>
              <w:right w:val="single" w:sz="4" w:color="D9D9D9"/>
            </w:tcBorders>
            <w:shd w:fill="DCE6F1"/>
          </w:tcPr>
          <w:p>
            <w:pPr>
              <w:spacing w:after="80" w:before="80" w:line="264" w:lineRule="auto"/>
            </w:pPr>
            <w:r>
              <w:rPr>
                <w:b/>
                <w:sz w:val="20"/>
              </w:rPr>
              <w:t>Rule</w:t>
            </w:r>
          </w:p>
        </w:tc>
      </w:tr>
      <w:tr>
        <w:trPr>
          <w:cantSplit/>
        </w:trPr>
        <w:tc>
          <w:tcPr>
            <w:tcW w:type="dxa" w:w="3024"/>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Database URL and credentials</w:t>
            </w:r>
          </w:p>
        </w:tc>
        <w:tc>
          <w:tcPr>
            <w:tcW w:type="dxa" w:w="6768"/>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Secret store; least privilege; migration role separate from runtime role.</w:t>
            </w:r>
          </w:p>
        </w:tc>
      </w:tr>
      <w:tr>
        <w:trPr>
          <w:cantSplit/>
        </w:trPr>
        <w:tc>
          <w:tcPr>
            <w:tcW w:type="dxa" w:w="3024"/>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Application encryption/session secret</w:t>
            </w:r>
          </w:p>
        </w:tc>
        <w:tc>
          <w:tcPr>
            <w:tcW w:type="dxa" w:w="6768"/>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Generate per environment; never commit; rotation must consider existing encrypted values.</w:t>
            </w:r>
          </w:p>
        </w:tc>
      </w:tr>
      <w:tr>
        <w:trPr>
          <w:cantSplit/>
        </w:trPr>
        <w:tc>
          <w:tcPr>
            <w:tcW w:type="dxa" w:w="3024"/>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Contact verification provider</w:t>
            </w:r>
          </w:p>
        </w:tc>
        <w:tc>
          <w:tcPr>
            <w:tcW w:type="dxa" w:w="6768"/>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Configure chosen email or OTP service; test delivery and recovery before enabling that login path.</w:t>
            </w:r>
          </w:p>
        </w:tc>
      </w:tr>
      <w:tr>
        <w:trPr>
          <w:cantSplit/>
        </w:trPr>
        <w:tc>
          <w:tcPr>
            <w:tcW w:type="dxa" w:w="3024"/>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Allowed origin and HTTPS</w:t>
            </w:r>
          </w:p>
        </w:tc>
        <w:tc>
          <w:tcPr>
            <w:tcW w:type="dxa" w:w="6768"/>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Restrict session domain; secure cookies; CSRF on state changes.</w:t>
            </w:r>
          </w:p>
        </w:tc>
      </w:tr>
      <w:tr>
        <w:trPr>
          <w:cantSplit/>
        </w:trPr>
        <w:tc>
          <w:tcPr>
            <w:tcW w:type="dxa" w:w="3024"/>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Default timezone</w:t>
            </w:r>
          </w:p>
        </w:tc>
        <w:tc>
          <w:tcPr>
            <w:tcW w:type="dxa" w:w="6768"/>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Africa/Kampala for display; UTC timestamps in persistence.</w:t>
            </w:r>
          </w:p>
        </w:tc>
      </w:tr>
      <w:tr>
        <w:trPr>
          <w:cantSplit/>
        </w:trPr>
        <w:tc>
          <w:tcPr>
            <w:tcW w:type="dxa" w:w="3024"/>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Backup target and retention</w:t>
            </w:r>
          </w:p>
        </w:tc>
        <w:tc>
          <w:tcPr>
            <w:tcW w:type="dxa" w:w="6768"/>
            <w:tcBorders>
              <w:top w:val="single" w:sz="4" w:color="D9D9D9"/>
              <w:left w:val="single" w:sz="4" w:color="D9D9D9"/>
              <w:bottom w:val="single" w:sz="4" w:color="D9D9D9"/>
              <w:right w:val="single" w:sz="4" w:color="D9D9D9"/>
            </w:tcBorders>
            <w:shd w:fill="F5F7FA"/>
          </w:tcPr>
          <w:p>
            <w:pPr>
              <w:spacing w:after="80" w:before="80" w:line="264" w:lineRule="auto"/>
            </w:pPr>
            <w:r>
              <w:rPr>
                <w:b w:val="0"/>
                <w:sz w:val="20"/>
              </w:rPr>
              <w:t>Protected access, encrypted backups, named retention owner and tested restore.</w:t>
            </w:r>
          </w:p>
        </w:tc>
      </w:tr>
      <w:tr>
        <w:trPr>
          <w:cantSplit/>
        </w:trPr>
        <w:tc>
          <w:tcPr>
            <w:tcW w:type="dxa" w:w="3024"/>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Logging and alerts</w:t>
            </w:r>
          </w:p>
        </w:tc>
        <w:tc>
          <w:tcPr>
            <w:tcW w:type="dxa" w:w="6768"/>
            <w:tcBorders>
              <w:top w:val="single" w:sz="4" w:color="D9D9D9"/>
              <w:left w:val="single" w:sz="4" w:color="D9D9D9"/>
              <w:bottom w:val="single" w:sz="4" w:color="D9D9D9"/>
              <w:right w:val="single" w:sz="4" w:color="D9D9D9"/>
            </w:tcBorders>
            <w:shd w:fill="FFFFFF"/>
          </w:tcPr>
          <w:p>
            <w:pPr>
              <w:spacing w:after="80" w:before="80" w:line="264" w:lineRule="auto"/>
            </w:pPr>
            <w:r>
              <w:rPr>
                <w:b w:val="0"/>
                <w:sz w:val="20"/>
              </w:rPr>
              <w:t>Safe metadata only; operator contact and thresholds configured.</w:t>
            </w:r>
          </w:p>
        </w:tc>
      </w:tr>
    </w:tbl>
    <w:p>
      <w:pPr>
        <w:keepLines/>
        <w:spacing w:line="264" w:lineRule="auto" w:before="0" w:after="120"/>
      </w:pPr>
    </w:p>
    <w:p>
      <w:pPr>
        <w:pStyle w:val="Heading1"/>
        <w:keepNext/>
        <w:keepLines/>
        <w:spacing w:line="264" w:lineRule="auto" w:before="240" w:after="120"/>
      </w:pPr>
      <w:r>
        <w:t>Predeployment checklist</w:t>
      </w:r>
    </w:p>
    <w:p>
      <w:pPr>
        <w:pStyle w:val="ListBullet"/>
        <w:keepLines/>
        <w:spacing w:line="264" w:lineRule="auto" w:before="0" w:after="120"/>
      </w:pPr>
      <w:r>
        <w:t>Approve source curriculum and policy manifest; migrations and cross-scope guards pass on fresh staging database.</w:t>
      </w:r>
    </w:p>
    <w:p>
      <w:pPr>
        <w:pStyle w:val="ListBullet"/>
        <w:keepLines/>
        <w:spacing w:line="264" w:lineRule="auto" w:before="0" w:after="120"/>
      </w:pPr>
      <w:r>
        <w:t>Run automated checks, complete mobile/content review and rehearse three-role journey.</w:t>
      </w:r>
    </w:p>
    <w:p>
      <w:pPr>
        <w:pStyle w:val="ListBullet"/>
        <w:keepLines/>
        <w:spacing w:line="264" w:lineRule="auto" w:before="0" w:after="120"/>
      </w:pPr>
      <w:r>
        <w:t>Create and verify current backup. Check free capacity and migrations against representative data.</w:t>
      </w:r>
    </w:p>
    <w:p>
      <w:pPr>
        <w:pStyle w:val="ListBullet"/>
        <w:keepLines/>
        <w:spacing w:line="264" w:lineRule="auto" w:before="0" w:after="120"/>
      </w:pPr>
      <w:r>
        <w:t>Prepare previous release artifact and database compatibility notes. Record maintenance window if downtime is needed.</w:t>
      </w:r>
    </w:p>
    <w:p>
      <w:pPr>
        <w:pStyle w:val="ListBullet"/>
        <w:keepLines/>
        <w:spacing w:line="264" w:lineRule="auto" w:before="0" w:after="120"/>
      </w:pPr>
      <w:r>
        <w:t>Confirm operator ownership and no critical/high defects. Programme owner accepts pilot scope.</w:t>
      </w:r>
    </w:p>
    <w:p>
      <w:pPr>
        <w:pStyle w:val="Heading1"/>
        <w:keepNext/>
        <w:keepLines/>
        <w:spacing w:line="264" w:lineRule="auto" w:before="240" w:after="120"/>
      </w:pPr>
      <w:r>
        <w:t>Deployment procedure</w:t>
      </w:r>
    </w:p>
    <w:p>
      <w:pPr>
        <w:keepLines/>
        <w:spacing w:line="264" w:lineRule="auto" w:before="0" w:after="120"/>
      </w:pPr>
      <w:r>
        <w:t>1. Tag the reviewed release and record content version. 2. Verify environment and backup identity. 3. Apply reviewed migrations using the migration role. 4. Deploy immutable application artifact with approved secrets. 5. Restart required application processes. 6. Check readiness and database access. 7. Run synthetic sign-in, draft save, invite join, quiz and report smoke checks. 8. Record result and operator. Never publish a new curriculum automatically as a side effect of deploying code.</w:t>
      </w:r>
    </w:p>
    <w:p>
      <w:pPr>
        <w:pStyle w:val="Heading1"/>
        <w:keepNext/>
        <w:keepLines/>
        <w:spacing w:line="264" w:lineRule="auto" w:before="240" w:after="120"/>
      </w:pPr>
      <w:r>
        <w:t>Rollback procedure</w:t>
      </w:r>
    </w:p>
    <w:p>
      <w:pPr>
        <w:keepLines/>
        <w:spacing w:line="264" w:lineRule="auto" w:before="0" w:after="120"/>
      </w:pPr>
      <w:r>
        <w:t>Rollback application code only when the previous release is compatible with the current schema. Prefer additive migrations and later cleanup. If incompatible, stop writes, assess safe forward repair first, and restore only under the approved recovery procedure. Restoring a backup can discard newer work: document affected interval, preserve current database for investigation and obtain incident-owner decision before replacement. Reopening service requires consistency and journey checks.</w:t>
      </w:r>
    </w:p>
    <w:p>
      <w:pPr>
        <w:pStyle w:val="Heading1"/>
        <w:keepNext/>
        <w:keepLines/>
        <w:spacing w:line="264" w:lineRule="auto" w:before="240" w:after="120"/>
      </w:pPr>
      <w:r>
        <w:t>Backup and restore</w:t>
      </w:r>
    </w:p>
    <w:p>
      <w:pPr>
        <w:keepLines/>
        <w:spacing w:line="264" w:lineRule="auto" w:before="0" w:after="120"/>
      </w:pPr>
      <w:r>
        <w:t>Provisional pilot targets are RPO no more than 24 hours and RTO no more than 4 hours. Daily backups alone meet RPO only if monitored and successful. Retention and frequency require programme approval. Demonstrate restore to a separate environment before pilot and after material schema changes. Test record counts, relationships, content version and application behavior; backup existence is not proof of recoverability.</w:t>
      </w:r>
    </w:p>
    <w:p>
      <w:pPr>
        <w:pStyle w:val="Heading1"/>
        <w:keepNext/>
        <w:keepLines/>
        <w:spacing w:line="264" w:lineRule="auto" w:before="240" w:after="120"/>
      </w:pPr>
      <w:r>
        <w:t>Monitoring and incident handling</w:t>
      </w:r>
    </w:p>
    <w:p>
      <w:pPr>
        <w:keepLines/>
        <w:spacing w:line="264" w:lineRule="auto" w:before="0" w:after="120"/>
      </w:pPr>
      <w:r>
        <w:t>Monitor readiness, database connectivity, error rate, ordinary API latency, failed verification delivery, backup age and disk/database capacity. Alert routing belongs to a named operator. For an incident, contain access or writes if required, preserve safe evidence, identify affected journeys, communicate status through existing organizational channels, repair or recover, verify consistency and record follow-up. Do not log personal payloads to diagnose failures.</w:t>
      </w:r>
    </w:p>
    <w:p>
      <w:pPr>
        <w:pStyle w:val="Heading1"/>
        <w:keepNext/>
        <w:keepLines/>
        <w:spacing w:line="264" w:lineRule="auto" w:before="240" w:after="120"/>
      </w:pPr>
      <w:r>
        <w:t>Routine administration</w:t>
      </w:r>
    </w:p>
    <w:p>
      <w:pPr>
        <w:keepLines/>
        <w:spacing w:line="264" w:lineRule="auto" w:before="0" w:after="120"/>
      </w:pPr>
      <w:r>
        <w:t>Review pending facilitator approvals and suspicious access patterns, check backup success and verify stale invite policy. Reconcile derived progress after corrections. Changes to roles, visibility, curriculum publication, completion overrides and production data corrections require recorded actor time and reason. Keep infrastructure security logs separate from a later user-facing activity timeline.</w:t>
      </w:r>
    </w:p>
    <w:p>
      <w:pPr>
        <w:pStyle w:val="Heading1"/>
        <w:keepNext/>
        <w:keepLines/>
        <w:spacing w:line="264" w:lineRule="auto" w:before="240" w:after="120"/>
      </w:pPr>
      <w:r>
        <w:t>Data lifecycle</w:t>
      </w:r>
    </w:p>
    <w:p>
      <w:pPr>
        <w:keepLines/>
        <w:spacing w:line="264" w:lineRule="auto" w:before="0" w:after="120"/>
      </w:pPr>
      <w:r>
        <w:t>Programme owner defines consent, minor participation, retention, account closure, deletion/anonymization and backup expiry. Archiving hides an account operationally but is not equivalent to erasing personal data. Purges must preserve required aggregates while removing approved personal information and account recovery credentials. Do not give specific legal-compliance assurances without a reviewed applicable policy.</w:t>
      </w:r>
    </w:p>
    <w:p>
      <w:pPr>
        <w:pStyle w:val="Heading1"/>
        <w:keepNext/>
        <w:keepLines/>
        <w:spacing w:line="264" w:lineRule="auto" w:before="240" w:after="120"/>
      </w:pPr>
      <w:r>
        <w:t>Handover record</w:t>
      </w:r>
    </w:p>
    <w:p>
      <w:pPr>
        <w:keepLines/>
        <w:spacing w:line="264" w:lineRule="auto" w:before="0" w:after="120"/>
      </w:pPr>
      <w:r>
        <w:t>Record repository owner, deployment location, secret access owner, administrator setup process, content owner, backup location, restore evidence, support contacts, release tag and known limitations. Store credentials only in the approved secret system, never in this document or its archive.</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Called to Thrive   •   Proposed baseline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