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pacing w:line="264" w:lineRule="auto" w:before="0" w:after="280"/>
      </w:pPr>
      <w:r>
        <w:t>Called to Thrive Decisions and User Guide</w:t>
      </w:r>
    </w:p>
    <w:p>
      <w:pPr>
        <w:pStyle w:val="Subtitle"/>
        <w:keepLines/>
        <w:spacing w:line="264" w:lineRule="auto" w:before="0" w:after="120"/>
      </w:pPr>
      <w:r>
        <w:t>Called to Thrive Uganda | Version 1.0 | 3 October 2026</w:t>
      </w:r>
    </w:p>
    <w:p>
      <w:pPr>
        <w:keepLines/>
        <w:spacing w:line="264" w:lineRule="auto" w:before="0" w:after="120"/>
      </w:pPr>
      <w:r>
        <w:t>Status: Proposed baseline for review. Prepared for the programme owner and development team. No stakeholder approval, production deployment or completed testing is claimed.</w:t>
      </w:r>
    </w:p>
    <w:p>
      <w:pPr>
        <w:keepLines/>
        <w:spacing w:line="264" w:lineRule="auto" w:before="0" w:after="120"/>
      </w:pPr>
      <w:r>
        <w:t>This document records proposed choices, unresolved programme decisions, scope control and the basic workflows needed for pilot onboarding. It prevents technical assumptions being mistaken for approved ministry policy.</w:t>
      </w:r>
    </w:p>
    <w:p>
      <w:pPr>
        <w:pStyle w:val="Heading1"/>
        <w:keepNext/>
        <w:keepLines/>
        <w:spacing w:line="264" w:lineRule="auto" w:before="240" w:after="120"/>
      </w:pPr>
      <w:r>
        <w:t>Decision register</w:t>
      </w:r>
    </w:p>
    <w:tbl>
      <w:tblPr>
        <w:tblW w:type="auto" w:w="0"/>
        <w:tblLayout w:type="fixed"/>
        <w:tblLook w:firstColumn="1" w:firstRow="1" w:lastColumn="0" w:lastRow="0" w:noHBand="0" w:noVBand="1" w:val="04A0"/>
      </w:tblPr>
      <w:tblGrid>
        <w:gridCol w:w="1872"/>
        <w:gridCol w:w="3024"/>
        <w:gridCol w:w="4896"/>
      </w:tblGrid>
      <w:tr>
        <w:trPr>
          <w:cantSplit/>
          <w:tblHeader/>
        </w:trPr>
        <w:tc>
          <w:tcPr>
            <w:tcW w:type="dxa" w:w="1872"/>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ID and status</w:t>
            </w:r>
          </w:p>
        </w:tc>
        <w:tc>
          <w:tcPr>
            <w:tcW w:type="dxa" w:w="3024"/>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Decision</w:t>
            </w:r>
          </w:p>
        </w:tc>
        <w:tc>
          <w:tcPr>
            <w:tcW w:type="dxa" w:w="4896"/>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Reason or consequence</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D01 Proposed</w:t>
            </w:r>
          </w:p>
        </w:tc>
        <w:tc>
          <w:tcPr>
            <w:tcW w:type="dxa" w:w="3024"/>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Modular monolith and relational database</w:t>
            </w:r>
          </w:p>
        </w:tc>
        <w:tc>
          <w:tcPr>
            <w:tcW w:type="dxa" w:w="489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Small deployable system; candidate Laravel Blade PostgreSQL; confirm developer capacity.</w:t>
            </w:r>
          </w:p>
        </w:tc>
      </w:tr>
      <w:tr>
        <w:trPr>
          <w:cantSplit/>
        </w:trPr>
        <w:tc>
          <w:tcPr>
            <w:tcW w:type="dxa" w:w="187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D02 Agreed scope</w:t>
            </w:r>
          </w:p>
        </w:tc>
        <w:tc>
          <w:tcPr>
            <w:tcW w:type="dxa" w:w="3024"/>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Google Meet external link</w:t>
            </w:r>
          </w:p>
        </w:tc>
        <w:tc>
          <w:tcPr>
            <w:tcW w:type="dxa" w:w="489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No built-in video, meeting creation API or automatic attendance.</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D03 Baseline</w:t>
            </w:r>
          </w:p>
        </w:tc>
        <w:tc>
          <w:tcPr>
            <w:tcW w:type="dxa" w:w="3024"/>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Approved Uganda workbook version</w:t>
            </w:r>
          </w:p>
        </w:tc>
        <w:tc>
          <w:tcPr>
            <w:tcW w:type="dxa" w:w="489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15 lessons in provided source; cohort pinned to immutable version.</w:t>
            </w:r>
          </w:p>
        </w:tc>
      </w:tr>
      <w:tr>
        <w:trPr>
          <w:cantSplit/>
        </w:trPr>
        <w:tc>
          <w:tcPr>
            <w:tcW w:type="dxa" w:w="187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D04 Baseline</w:t>
            </w:r>
          </w:p>
        </w:tc>
        <w:tc>
          <w:tcPr>
            <w:tcW w:type="dxa" w:w="3024"/>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Attendance independent of completion</w:t>
            </w:r>
          </w:p>
        </w:tc>
        <w:tc>
          <w:tcPr>
            <w:tcW w:type="dxa" w:w="489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Personal Life Work and project criteria govern learning completion.</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D05 Proposed</w:t>
            </w:r>
          </w:p>
        </w:tc>
        <w:tc>
          <w:tcPr>
            <w:tcW w:type="dxa" w:w="3024"/>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Private reflections by default</w:t>
            </w:r>
          </w:p>
        </w:tc>
        <w:tc>
          <w:tcPr>
            <w:tcW w:type="dxa" w:w="489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Facilitator-visible components need explicit published sharing policy.</w:t>
            </w:r>
          </w:p>
        </w:tc>
      </w:tr>
      <w:tr>
        <w:trPr>
          <w:cantSplit/>
        </w:trPr>
        <w:tc>
          <w:tcPr>
            <w:tcW w:type="dxa" w:w="187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D06 Agreed scope</w:t>
            </w:r>
          </w:p>
        </w:tc>
        <w:tc>
          <w:tcPr>
            <w:tcW w:type="dxa" w:w="3024"/>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Online V1 and later offline design</w:t>
            </w:r>
          </w:p>
        </w:tc>
        <w:tc>
          <w:tcPr>
            <w:tcW w:type="dxa" w:w="489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No service worker cache of private data; failures preserve input and offer retry.</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D07 Proposed</w:t>
            </w:r>
          </w:p>
        </w:tc>
        <w:tc>
          <w:tcPr>
            <w:tcW w:type="dxa" w:w="3024"/>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Several project teams per cohort</w:t>
            </w:r>
          </w:p>
        </w:tc>
        <w:tc>
          <w:tcPr>
            <w:tcW w:type="dxa" w:w="489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Members must belong to cohort; programme owner decides single-team membership restriction.</w:t>
            </w:r>
          </w:p>
        </w:tc>
      </w:tr>
      <w:tr>
        <w:trPr>
          <w:cantSplit/>
        </w:trPr>
        <w:tc>
          <w:tcPr>
            <w:tcW w:type="dxa" w:w="187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D08 Proposed</w:t>
            </w:r>
          </w:p>
        </w:tc>
        <w:tc>
          <w:tcPr>
            <w:tcW w:type="dxa" w:w="3024"/>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Administrator approved facilitators</w:t>
            </w:r>
          </w:p>
        </w:tc>
        <w:tc>
          <w:tcPr>
            <w:tcW w:type="dxa" w:w="489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Pending status cannot operate cohorts.</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D09 Proposed</w:t>
            </w:r>
          </w:p>
        </w:tc>
        <w:tc>
          <w:tcPr>
            <w:tcW w:type="dxa" w:w="3024"/>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CSV reporting baseline</w:t>
            </w:r>
          </w:p>
        </w:tc>
        <w:tc>
          <w:tcPr>
            <w:tcW w:type="dxa" w:w="489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Excel-compatible CSV; native XLSX only if prioritized.</w:t>
            </w:r>
          </w:p>
        </w:tc>
      </w:tr>
      <w:tr>
        <w:trPr>
          <w:cantSplit/>
        </w:trPr>
        <w:tc>
          <w:tcPr>
            <w:tcW w:type="dxa" w:w="187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D10 Proposed</w:t>
            </w:r>
          </w:p>
        </w:tc>
        <w:tc>
          <w:tcPr>
            <w:tcW w:type="dxa" w:w="3024"/>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Contact verification choice</w:t>
            </w:r>
          </w:p>
        </w:tc>
        <w:tc>
          <w:tcPr>
            <w:tcW w:type="dxa" w:w="489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Confirm email delivery and whether phone OTP cost is viable before implementing both.</w:t>
            </w:r>
          </w:p>
        </w:tc>
      </w:tr>
    </w:tbl>
    <w:p>
      <w:pPr>
        <w:keepLines/>
        <w:spacing w:line="264" w:lineRule="auto" w:before="0" w:after="120"/>
      </w:pPr>
    </w:p>
    <w:p>
      <w:pPr>
        <w:pStyle w:val="Heading1"/>
        <w:keepNext/>
        <w:keepLines/>
        <w:spacing w:line="264" w:lineRule="auto" w:before="240" w:after="120"/>
      </w:pPr>
      <w:r>
        <w:t>Programme decisions to settle before pilot</w:t>
      </w:r>
    </w:p>
    <w:tbl>
      <w:tblPr>
        <w:tblW w:type="auto" w:w="0"/>
        <w:tblLayout w:type="fixed"/>
        <w:tblLook w:firstColumn="1" w:firstRow="1" w:lastColumn="0" w:lastRow="0" w:noHBand="0" w:noVBand="1" w:val="04A0"/>
      </w:tblPr>
      <w:tblGrid>
        <w:gridCol w:w="4032"/>
        <w:gridCol w:w="2448"/>
        <w:gridCol w:w="3312"/>
      </w:tblGrid>
      <w:tr>
        <w:trPr>
          <w:cantSplit/>
          <w:tblHeader/>
        </w:trPr>
        <w:tc>
          <w:tcPr>
            <w:tcW w:type="dxa" w:w="4032"/>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Question</w:t>
            </w:r>
          </w:p>
        </w:tc>
        <w:tc>
          <w:tcPr>
            <w:tcW w:type="dxa" w:w="2448"/>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Decision owner</w:t>
            </w:r>
          </w:p>
        </w:tc>
        <w:tc>
          <w:tcPr>
            <w:tcW w:type="dxa" w:w="3312"/>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Implementation impact</w:t>
            </w:r>
          </w:p>
        </w:tc>
      </w:tr>
      <w:tr>
        <w:trPr>
          <w:cantSplit/>
        </w:trPr>
        <w:tc>
          <w:tcPr>
            <w:tcW w:type="dxa" w:w="403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Which exact content and scripture wording are approved?</w:t>
            </w:r>
          </w:p>
        </w:tc>
        <w:tc>
          <w:tcPr>
            <w:tcW w:type="dxa" w:w="244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Curriculum owner</w:t>
            </w:r>
          </w:p>
        </w:tc>
        <w:tc>
          <w:tcPr>
            <w:tcW w:type="dxa" w:w="331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Published manifest and quiz/evaluation fixtures.</w:t>
            </w:r>
          </w:p>
        </w:tc>
      </w:tr>
      <w:tr>
        <w:trPr>
          <w:cantSplit/>
        </w:trPr>
        <w:tc>
          <w:tcPr>
            <w:tcW w:type="dxa" w:w="403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Which components are required and who can override?</w:t>
            </w:r>
          </w:p>
        </w:tc>
        <w:tc>
          <w:tcPr>
            <w:tcW w:type="dxa" w:w="244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Programme owner</w:t>
            </w:r>
          </w:p>
        </w:tc>
        <w:tc>
          <w:tcPr>
            <w:tcW w:type="dxa" w:w="331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Completion policy and override authority.</w:t>
            </w:r>
          </w:p>
        </w:tc>
      </w:tr>
      <w:tr>
        <w:trPr>
          <w:cantSplit/>
        </w:trPr>
        <w:tc>
          <w:tcPr>
            <w:tcW w:type="dxa" w:w="403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Which responses can facilitators see?</w:t>
            </w:r>
          </w:p>
        </w:tc>
        <w:tc>
          <w:tcPr>
            <w:tcW w:type="dxa" w:w="244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Programme owner</w:t>
            </w:r>
          </w:p>
        </w:tc>
        <w:tc>
          <w:tcPr>
            <w:tcW w:type="dxa" w:w="331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Visibility policy and participant explanation.</w:t>
            </w:r>
          </w:p>
        </w:tc>
      </w:tr>
      <w:tr>
        <w:trPr>
          <w:cantSplit/>
        </w:trPr>
        <w:tc>
          <w:tcPr>
            <w:tcW w:type="dxa" w:w="403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How are minors included and consent recorded?</w:t>
            </w:r>
          </w:p>
        </w:tc>
        <w:tc>
          <w:tcPr>
            <w:tcW w:type="dxa" w:w="244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Programme owner with policy adviser</w:t>
            </w:r>
          </w:p>
        </w:tc>
        <w:tc>
          <w:tcPr>
            <w:tcW w:type="dxa" w:w="331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Onboarding and consent record model.</w:t>
            </w:r>
          </w:p>
        </w:tc>
      </w:tr>
      <w:tr>
        <w:trPr>
          <w:cantSplit/>
        </w:trPr>
        <w:tc>
          <w:tcPr>
            <w:tcW w:type="dxa" w:w="403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How long are records retained?</w:t>
            </w:r>
          </w:p>
        </w:tc>
        <w:tc>
          <w:tcPr>
            <w:tcW w:type="dxa" w:w="244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Programme owner</w:t>
            </w:r>
          </w:p>
        </w:tc>
        <w:tc>
          <w:tcPr>
            <w:tcW w:type="dxa" w:w="331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Purge and backup-retention process.</w:t>
            </w:r>
          </w:p>
        </w:tc>
      </w:tr>
      <w:tr>
        <w:trPr>
          <w:cantSplit/>
        </w:trPr>
        <w:tc>
          <w:tcPr>
            <w:tcW w:type="dxa" w:w="403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Can one participant belong to several teams?</w:t>
            </w:r>
          </w:p>
        </w:tc>
        <w:tc>
          <w:tcPr>
            <w:tcW w:type="dxa" w:w="244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Programme owner</w:t>
            </w:r>
          </w:p>
        </w:tc>
        <w:tc>
          <w:tcPr>
            <w:tcW w:type="dxa" w:w="331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Membership constraint and project completion rules.</w:t>
            </w:r>
          </w:p>
        </w:tc>
      </w:tr>
      <w:tr>
        <w:trPr>
          <w:cantSplit/>
        </w:trPr>
        <w:tc>
          <w:tcPr>
            <w:tcW w:type="dxa" w:w="403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How are withdrawn participants counted?</w:t>
            </w:r>
          </w:p>
        </w:tc>
        <w:tc>
          <w:tcPr>
            <w:tcW w:type="dxa" w:w="244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Reporting owner</w:t>
            </w:r>
          </w:p>
        </w:tc>
        <w:tc>
          <w:tcPr>
            <w:tcW w:type="dxa" w:w="331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Rates and filter labels.</w:t>
            </w:r>
          </w:p>
        </w:tc>
      </w:tr>
      <w:tr>
        <w:trPr>
          <w:cantSplit/>
        </w:trPr>
        <w:tc>
          <w:tcPr>
            <w:tcW w:type="dxa" w:w="403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What hours can development and support provide?</w:t>
            </w:r>
          </w:p>
        </w:tc>
        <w:tc>
          <w:tcPr>
            <w:tcW w:type="dxa" w:w="244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Project owner</w:t>
            </w:r>
          </w:p>
        </w:tc>
        <w:tc>
          <w:tcPr>
            <w:tcW w:type="dxa" w:w="331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Timeline and incident coverage.</w:t>
            </w:r>
          </w:p>
        </w:tc>
      </w:tr>
    </w:tbl>
    <w:p>
      <w:pPr>
        <w:keepLines/>
        <w:spacing w:line="264" w:lineRule="auto" w:before="0" w:after="120"/>
      </w:pPr>
    </w:p>
    <w:p>
      <w:pPr>
        <w:pStyle w:val="Heading1"/>
        <w:keepNext/>
        <w:keepLines/>
        <w:spacing w:line="264" w:lineRule="auto" w:before="240" w:after="120"/>
      </w:pPr>
      <w:r>
        <w:t>Change control</w:t>
      </w:r>
    </w:p>
    <w:p>
      <w:pPr>
        <w:keepLines/>
        <w:spacing w:line="264" w:lineRule="auto" w:before="0" w:after="120"/>
      </w:pPr>
      <w:r>
        <w:t>Record proposed change, reason, affected requirement IDs, privacy/content impact, effort and release priority. Programme owner decides scope; developer updates SRS SDD database plan tests and traceability together. Published curriculum changes create a new version. A requested reminder or AI assistant does not enter V1 merely because an implementation library exists.</w:t>
      </w:r>
    </w:p>
    <w:p>
      <w:pPr>
        <w:pStyle w:val="Heading1"/>
        <w:keepNext/>
        <w:keepLines/>
        <w:spacing w:line="264" w:lineRule="auto" w:before="240" w:after="120"/>
      </w:pPr>
      <w:r>
        <w:t>Participant quick guide</w:t>
      </w:r>
    </w:p>
    <w:p>
      <w:pPr>
        <w:pStyle w:val="ListBullet"/>
        <w:keepLines/>
        <w:spacing w:line="264" w:lineRule="auto" w:before="0" w:after="120"/>
      </w:pPr>
      <w:r>
        <w:t>Create and verify your account, then confirm the cohort shown by the join code or link.</w:t>
      </w:r>
    </w:p>
    <w:p>
      <w:pPr>
        <w:pStyle w:val="ListBullet"/>
        <w:keepLines/>
        <w:spacing w:line="264" w:lineRule="auto" w:before="0" w:after="120"/>
      </w:pPr>
      <w:r>
        <w:t>Use Home for the next session and Journey for the lessons. Join Google Meet opens an external service.</w:t>
      </w:r>
    </w:p>
    <w:p>
      <w:pPr>
        <w:pStyle w:val="ListBullet"/>
        <w:keepLines/>
        <w:spacing w:line="264" w:lineRule="auto" w:before="0" w:after="120"/>
      </w:pPr>
      <w:r>
        <w:t>Save a draft while working. Check the saved confirmation before leaving. Submit only when ready. If internet fails, keep the page open and retry; V1 does not promise offline storage.</w:t>
      </w:r>
    </w:p>
    <w:p>
      <w:pPr>
        <w:pStyle w:val="ListBullet"/>
        <w:keepLines/>
        <w:spacing w:line="264" w:lineRule="auto" w:before="0" w:after="120"/>
      </w:pPr>
      <w:r>
        <w:t>Your lesson checklist shows remaining work. Attendance alone does not finish a lesson.</w:t>
      </w:r>
    </w:p>
    <w:p>
      <w:pPr>
        <w:pStyle w:val="ListBullet"/>
        <w:keepLines/>
        <w:spacing w:line="264" w:lineRule="auto" w:before="0" w:after="120"/>
      </w:pPr>
      <w:r>
        <w:t>Complete the career quiz and view all six scores. Work in your assigned project team, record actions and tasks, then submit your individual evaluation.</w:t>
      </w:r>
    </w:p>
    <w:p>
      <w:pPr>
        <w:pStyle w:val="ListBullet"/>
        <w:keepLines/>
        <w:spacing w:line="264" w:lineRule="auto" w:before="0" w:after="120"/>
      </w:pPr>
      <w:r>
        <w:t>Private reflections remain private; activities explicitly marked for your facilitator or team follow the sharing statement displayed on the activity.</w:t>
      </w:r>
    </w:p>
    <w:p>
      <w:pPr>
        <w:pStyle w:val="Heading1"/>
        <w:keepNext/>
        <w:keepLines/>
        <w:spacing w:line="264" w:lineRule="auto" w:before="240" w:after="120"/>
      </w:pPr>
      <w:r>
        <w:t>Facilitator quick guide</w:t>
      </w:r>
    </w:p>
    <w:p>
      <w:pPr>
        <w:pStyle w:val="ListBullet"/>
        <w:keepLines/>
        <w:spacing w:line="264" w:lineRule="auto" w:before="0" w:after="120"/>
      </w:pPr>
      <w:r>
        <w:t>Complete account approval and partner affiliation, create cohort and confirm the curriculum version before inviting participants.</w:t>
      </w:r>
    </w:p>
    <w:p>
      <w:pPr>
        <w:pStyle w:val="ListBullet"/>
        <w:keepLines/>
        <w:spacing w:line="264" w:lineRule="auto" w:before="0" w:after="120"/>
      </w:pPr>
      <w:r>
        <w:t>Use the roster to verify enrollment. Share the cohort link through your existing channels; rotate or revoke exposed invites when needed.</w:t>
      </w:r>
    </w:p>
    <w:p>
      <w:pPr>
        <w:pStyle w:val="ListBullet"/>
        <w:keepLines/>
        <w:spacing w:line="264" w:lineRule="auto" w:before="0" w:after="120"/>
      </w:pPr>
      <w:r>
        <w:t>Schedule the session, supply venue or Meet link, prepare using facilitator view and record attendance with a review step.</w:t>
      </w:r>
    </w:p>
    <w:p>
      <w:pPr>
        <w:pStyle w:val="ListBullet"/>
        <w:keepLines/>
        <w:spacing w:line="264" w:lineRule="auto" w:before="0" w:after="120"/>
      </w:pPr>
      <w:r>
        <w:t>Confirm discussion activities only for participants who took part; check unfinished Life Work separately.</w:t>
      </w:r>
    </w:p>
    <w:p>
      <w:pPr>
        <w:pStyle w:val="ListBullet"/>
        <w:keepLines/>
        <w:spacing w:line="264" w:lineRule="auto" w:before="0" w:after="120"/>
      </w:pPr>
      <w:r>
        <w:t>Guide team formation, planning and evaluation; completion screen must show outstanding criteria. Exceptional overrides require a reason.</w:t>
      </w:r>
    </w:p>
    <w:p>
      <w:pPr>
        <w:pStyle w:val="ListBullet"/>
        <w:keepLines/>
        <w:spacing w:line="264" w:lineRule="auto" w:before="0" w:after="120"/>
      </w:pPr>
      <w:r>
        <w:t>You can inspect completion states for private reflections, but not their text. Use your existing support channel for account or data issues.</w:t>
      </w:r>
    </w:p>
    <w:p>
      <w:pPr>
        <w:pStyle w:val="Heading1"/>
        <w:keepNext/>
        <w:keepLines/>
        <w:spacing w:line="264" w:lineRule="auto" w:before="240" w:after="120"/>
      </w:pPr>
      <w:r>
        <w:t>Administrator quick guide</w:t>
      </w:r>
    </w:p>
    <w:p>
      <w:pPr>
        <w:pStyle w:val="ListBullet"/>
        <w:keepLines/>
        <w:spacing w:line="264" w:lineRule="auto" w:before="0" w:after="120"/>
      </w:pPr>
      <w:r>
        <w:t>Approve legitimate facilitators and affiliations; do not create privileged accounts through participant registration.</w:t>
      </w:r>
    </w:p>
    <w:p>
      <w:pPr>
        <w:pStyle w:val="ListBullet"/>
        <w:keepLines/>
        <w:spacing w:line="264" w:lineRule="auto" w:before="0" w:after="120"/>
      </w:pPr>
      <w:r>
        <w:t>Use year and geographic filters with the stated reporting period. Distinguish unique people from enrollments.</w:t>
      </w:r>
    </w:p>
    <w:p>
      <w:pPr>
        <w:pStyle w:val="ListBullet"/>
        <w:keepLines/>
        <w:spacing w:line="264" w:lineRule="auto" w:before="0" w:after="120"/>
      </w:pPr>
      <w:r>
        <w:t>Export only authorized programme fields. Personal reflection text is not needed for normal oversight.</w:t>
      </w:r>
    </w:p>
    <w:p>
      <w:pPr>
        <w:pStyle w:val="ListBullet"/>
        <w:keepLines/>
        <w:spacing w:line="264" w:lineRule="auto" w:before="0" w:after="120"/>
      </w:pPr>
      <w:r>
        <w:t>Coordinate curriculum publication with the content owner and ensure new cohorts select the new version deliberately.</w:t>
      </w:r>
    </w:p>
    <w:p>
      <w:pPr>
        <w:pStyle w:val="ListBullet"/>
        <w:keepLines/>
        <w:spacing w:line="264" w:lineRule="auto" w:before="0" w:after="120"/>
      </w:pPr>
      <w:r>
        <w:t>Route data correction requests to an authorized operator; preserve reasons and history.</w:t>
      </w:r>
    </w:p>
    <w:p>
      <w:pPr>
        <w:pStyle w:val="Heading1"/>
        <w:keepNext/>
        <w:keepLines/>
        <w:spacing w:line="264" w:lineRule="auto" w:before="240" w:after="120"/>
      </w:pPr>
      <w:r>
        <w:t>Document control and review</w:t>
      </w:r>
    </w:p>
    <w:p>
      <w:pPr>
        <w:keepLines/>
        <w:spacing w:line="264" w:lineRule="auto" w:before="0" w:after="120"/>
      </w:pPr>
      <w:r>
        <w:t>This pack is version 1.0, proposed as of 3 October 2026. Source documents are the provided workbook and existing database blueprint. The traceability matrix is the shared index. Review changes with programme and curriculum representatives before implementing disputed policies. The implementation plan has relative phases, not a promised launch date.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Called to Thrive   •   Proposed baseline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