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8"/>
          <w:sz w:val="54"/>
        </w:rPr>
        <w:t>BANKING DATA GOVERNANCE</w:t>
        <w:br/>
        <w:t>AND SALES REPORTING SOLUTION</w:t>
      </w:r>
    </w:p>
    <w:p>
      <w:pPr>
        <w:pStyle w:val="SubtitleCustom"/>
        <w:jc w:val="center"/>
      </w:pPr>
      <w:r>
        <w:t>Business Requirements Specification</w:t>
      </w:r>
    </w:p>
    <w:p>
      <w:pPr>
        <w:spacing w:before="360"/>
        <w:jc w:val="center"/>
      </w:pPr>
      <w:r>
        <w:rPr>
          <w:color w:val="595959"/>
          <w:sz w:val="24"/>
        </w:rPr>
        <w:t>Microsoft Fabric • Power BI • Data Quality • Legal Entity Governance</w:t>
      </w:r>
    </w:p>
    <w:tbl>
      <w:tblPr>
        <w:tblW w:type="auto" w:w="0"/>
        <w:jc w:val="center"/>
        <w:tblLook w:firstColumn="1" w:firstRow="1" w:lastColumn="0" w:lastRow="0" w:noHBand="0" w:noVBand="1" w:val="04A0"/>
      </w:tblPr>
      <w:tblGrid>
        <w:gridCol w:w="4968"/>
        <w:gridCol w:w="4968"/>
      </w:tblGrid>
      <w:tr>
        <w:tc>
          <w:tcPr>
            <w:tcW w:type="dxa" w:w="4968"/>
            <w:shd w:fill="D9EAF7"/>
            <w:tcMar>
              <w:top w:w="90" w:type="dxa"/>
              <w:start w:w="120" w:type="dxa"/>
              <w:bottom w:w="90" w:type="dxa"/>
              <w:end w:w="120" w:type="dxa"/>
            </w:tcMar>
          </w:tcPr>
          <w:p>
            <w:pPr>
              <w:spacing w:after="0"/>
            </w:pPr>
            <w:r/>
            <w:r>
              <w:rPr>
                <w:rFonts w:ascii="Aptos" w:hAnsi="Aptos"/>
                <w:b/>
                <w:sz w:val="19"/>
              </w:rPr>
              <w:t>Document owner</w:t>
            </w:r>
          </w:p>
        </w:tc>
        <w:tc>
          <w:tcPr>
            <w:tcW w:type="dxa" w:w="4968"/>
            <w:tcMar>
              <w:top w:w="90" w:type="dxa"/>
              <w:start w:w="120" w:type="dxa"/>
              <w:bottom w:w="90" w:type="dxa"/>
              <w:end w:w="120" w:type="dxa"/>
            </w:tcMar>
          </w:tcPr>
          <w:p>
            <w:pPr>
              <w:spacing w:after="0"/>
            </w:pPr>
            <w:r/>
            <w:r>
              <w:rPr>
                <w:rFonts w:ascii="Aptos" w:hAnsi="Aptos"/>
                <w:b w:val="0"/>
                <w:sz w:val="19"/>
              </w:rPr>
              <w:t>Allan Vissor</w:t>
            </w:r>
          </w:p>
        </w:tc>
      </w:tr>
      <w:tr>
        <w:tc>
          <w:tcPr>
            <w:tcW w:type="dxa" w:w="4968"/>
            <w:shd w:fill="D9EAF7"/>
            <w:tcMar>
              <w:top w:w="90" w:type="dxa"/>
              <w:start w:w="120" w:type="dxa"/>
              <w:bottom w:w="90" w:type="dxa"/>
              <w:end w:w="120" w:type="dxa"/>
            </w:tcMar>
          </w:tcPr>
          <w:p>
            <w:pPr>
              <w:spacing w:after="0"/>
            </w:pPr>
            <w:r/>
            <w:r>
              <w:rPr>
                <w:rFonts w:ascii="Aptos" w:hAnsi="Aptos"/>
                <w:b/>
                <w:sz w:val="19"/>
              </w:rPr>
              <w:t>Document status</w:t>
            </w:r>
          </w:p>
        </w:tc>
        <w:tc>
          <w:tcPr>
            <w:tcW w:type="dxa" w:w="4968"/>
            <w:tcMar>
              <w:top w:w="90" w:type="dxa"/>
              <w:start w:w="120" w:type="dxa"/>
              <w:bottom w:w="90" w:type="dxa"/>
              <w:end w:w="120" w:type="dxa"/>
            </w:tcMar>
          </w:tcPr>
          <w:p>
            <w:pPr>
              <w:spacing w:after="0"/>
            </w:pPr>
            <w:r/>
            <w:r>
              <w:rPr>
                <w:rFonts w:ascii="Aptos" w:hAnsi="Aptos"/>
                <w:b w:val="0"/>
                <w:sz w:val="19"/>
              </w:rPr>
              <w:t>Draft for portfolio demonstration</w:t>
            </w:r>
          </w:p>
        </w:tc>
      </w:tr>
      <w:tr>
        <w:tc>
          <w:tcPr>
            <w:tcW w:type="dxa" w:w="4968"/>
            <w:shd w:fill="D9EAF7"/>
            <w:tcMar>
              <w:top w:w="90" w:type="dxa"/>
              <w:start w:w="120" w:type="dxa"/>
              <w:bottom w:w="90" w:type="dxa"/>
              <w:end w:w="120" w:type="dxa"/>
            </w:tcMar>
          </w:tcPr>
          <w:p>
            <w:pPr>
              <w:spacing w:after="0"/>
            </w:pPr>
            <w:r/>
            <w:r>
              <w:rPr>
                <w:rFonts w:ascii="Aptos" w:hAnsi="Aptos"/>
                <w:b/>
                <w:sz w:val="19"/>
              </w:rPr>
              <w:t>Version</w:t>
            </w:r>
          </w:p>
        </w:tc>
        <w:tc>
          <w:tcPr>
            <w:tcW w:type="dxa" w:w="4968"/>
            <w:tcMar>
              <w:top w:w="90" w:type="dxa"/>
              <w:start w:w="120" w:type="dxa"/>
              <w:bottom w:w="90" w:type="dxa"/>
              <w:end w:w="120" w:type="dxa"/>
            </w:tcMar>
          </w:tcPr>
          <w:p>
            <w:pPr>
              <w:spacing w:after="0"/>
            </w:pPr>
            <w:r/>
            <w:r>
              <w:rPr>
                <w:rFonts w:ascii="Aptos" w:hAnsi="Aptos"/>
                <w:b w:val="0"/>
                <w:sz w:val="19"/>
              </w:rPr>
              <w:t>1.0</w:t>
            </w:r>
          </w:p>
        </w:tc>
      </w:tr>
      <w:tr>
        <w:tc>
          <w:tcPr>
            <w:tcW w:type="dxa" w:w="4968"/>
            <w:shd w:fill="D9EAF7"/>
            <w:tcMar>
              <w:top w:w="90" w:type="dxa"/>
              <w:start w:w="120" w:type="dxa"/>
              <w:bottom w:w="90" w:type="dxa"/>
              <w:end w:w="120" w:type="dxa"/>
            </w:tcMar>
          </w:tcPr>
          <w:p>
            <w:pPr>
              <w:spacing w:after="0"/>
            </w:pPr>
            <w:r/>
            <w:r>
              <w:rPr>
                <w:rFonts w:ascii="Aptos" w:hAnsi="Aptos"/>
                <w:b/>
                <w:sz w:val="19"/>
              </w:rPr>
              <w:t>Date</w:t>
            </w:r>
          </w:p>
        </w:tc>
        <w:tc>
          <w:tcPr>
            <w:tcW w:type="dxa" w:w="4968"/>
            <w:tcMar>
              <w:top w:w="90" w:type="dxa"/>
              <w:start w:w="120" w:type="dxa"/>
              <w:bottom w:w="90" w:type="dxa"/>
              <w:end w:w="120" w:type="dxa"/>
            </w:tcMar>
          </w:tcPr>
          <w:p>
            <w:pPr>
              <w:spacing w:after="0"/>
            </w:pPr>
            <w:r/>
            <w:r>
              <w:rPr>
                <w:rFonts w:ascii="Aptos" w:hAnsi="Aptos"/>
                <w:b w:val="0"/>
                <w:sz w:val="19"/>
              </w:rPr>
              <w:t>14 July 2026</w:t>
            </w:r>
          </w:p>
        </w:tc>
      </w:tr>
      <w:tr>
        <w:tc>
          <w:tcPr>
            <w:tcW w:type="dxa" w:w="4968"/>
            <w:shd w:fill="D9EAF7"/>
            <w:tcMar>
              <w:top w:w="90" w:type="dxa"/>
              <w:start w:w="120" w:type="dxa"/>
              <w:bottom w:w="90" w:type="dxa"/>
              <w:end w:w="120" w:type="dxa"/>
            </w:tcMar>
          </w:tcPr>
          <w:p>
            <w:pPr>
              <w:spacing w:after="0"/>
            </w:pPr>
            <w:r/>
            <w:r>
              <w:rPr>
                <w:rFonts w:ascii="Aptos" w:hAnsi="Aptos"/>
                <w:b/>
                <w:sz w:val="19"/>
              </w:rPr>
              <w:t>Target audience</w:t>
            </w:r>
          </w:p>
        </w:tc>
        <w:tc>
          <w:tcPr>
            <w:tcW w:type="dxa" w:w="4968"/>
            <w:tcMar>
              <w:top w:w="90" w:type="dxa"/>
              <w:start w:w="120" w:type="dxa"/>
              <w:bottom w:w="90" w:type="dxa"/>
              <w:end w:w="120" w:type="dxa"/>
            </w:tcMar>
          </w:tcPr>
          <w:p>
            <w:pPr>
              <w:spacing w:after="0"/>
            </w:pPr>
            <w:r/>
            <w:r>
              <w:rPr>
                <w:rFonts w:ascii="Aptos" w:hAnsi="Aptos"/>
                <w:b w:val="0"/>
                <w:sz w:val="19"/>
              </w:rPr>
              <w:t>Data Owners, Data Stewards, Sales Reporting Owners, Business Analysts, BI and Data Engineering teams</w:t>
            </w:r>
          </w:p>
        </w:tc>
      </w:tr>
    </w:tbl>
    <w:p>
      <w:pPr>
        <w:spacing w:before="1400"/>
        <w:jc w:val="center"/>
      </w:pPr>
      <w:r>
        <w:rPr>
          <w:i/>
          <w:color w:val="646464"/>
          <w:sz w:val="18"/>
        </w:rPr>
        <w:t>Portfolio note: The solution uses synthetic banking data and does not contain real customer information.</w:t>
      </w:r>
    </w:p>
    <w:p>
      <w:r>
        <w:br w:type="page"/>
      </w:r>
    </w:p>
    <w:p>
      <w:pPr>
        <w:pStyle w:val="Heading1"/>
        <w:keepNext/>
        <w:spacing w:before="200" w:after="80"/>
      </w:pPr>
      <w:r>
        <w:t>Document Control</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008"/>
            <w:shd w:fill="1F4E78"/>
            <w:vAlign w:val="center"/>
            <w:tcMar>
              <w:top w:w="70" w:type="dxa"/>
              <w:start w:w="90" w:type="dxa"/>
              <w:bottom w:w="70" w:type="dxa"/>
              <w:end w:w="90" w:type="dxa"/>
            </w:tcMar>
          </w:tcPr>
          <w:p>
            <w:pPr>
              <w:spacing w:after="0"/>
            </w:pPr>
            <w:r/>
            <w:r>
              <w:rPr>
                <w:rFonts w:ascii="Aptos" w:hAnsi="Aptos"/>
                <w:b/>
                <w:color w:val="FFFFFF"/>
                <w:sz w:val="17"/>
              </w:rPr>
              <w:t>Version</w:t>
            </w:r>
          </w:p>
        </w:tc>
        <w:tc>
          <w:tcPr>
            <w:tcW w:type="dxa" w:w="1296"/>
            <w:shd w:fill="1F4E78"/>
            <w:vAlign w:val="center"/>
            <w:tcMar>
              <w:top w:w="70" w:type="dxa"/>
              <w:start w:w="90" w:type="dxa"/>
              <w:bottom w:w="70" w:type="dxa"/>
              <w:end w:w="90" w:type="dxa"/>
            </w:tcMar>
          </w:tcPr>
          <w:p>
            <w:pPr>
              <w:spacing w:after="0"/>
            </w:pPr>
            <w:r/>
            <w:r>
              <w:rPr>
                <w:rFonts w:ascii="Aptos" w:hAnsi="Aptos"/>
                <w:b/>
                <w:color w:val="FFFFFF"/>
                <w:sz w:val="17"/>
              </w:rPr>
              <w:t>Date</w:t>
            </w:r>
          </w:p>
        </w:tc>
        <w:tc>
          <w:tcPr>
            <w:tcW w:type="dxa" w:w="1584"/>
            <w:shd w:fill="1F4E78"/>
            <w:vAlign w:val="center"/>
            <w:tcMar>
              <w:top w:w="70" w:type="dxa"/>
              <w:start w:w="90" w:type="dxa"/>
              <w:bottom w:w="70" w:type="dxa"/>
              <w:end w:w="90" w:type="dxa"/>
            </w:tcMar>
          </w:tcPr>
          <w:p>
            <w:pPr>
              <w:spacing w:after="0"/>
            </w:pPr>
            <w:r/>
            <w:r>
              <w:rPr>
                <w:rFonts w:ascii="Aptos" w:hAnsi="Aptos"/>
                <w:b/>
                <w:color w:val="FFFFFF"/>
                <w:sz w:val="17"/>
              </w:rPr>
              <w:t>Author</w:t>
            </w:r>
          </w:p>
        </w:tc>
        <w:tc>
          <w:tcPr>
            <w:tcW w:type="dxa" w:w="1584"/>
            <w:shd w:fill="1F4E78"/>
            <w:vAlign w:val="center"/>
            <w:tcMar>
              <w:top w:w="70" w:type="dxa"/>
              <w:start w:w="90" w:type="dxa"/>
              <w:bottom w:w="70" w:type="dxa"/>
              <w:end w:w="90" w:type="dxa"/>
            </w:tcMar>
          </w:tcPr>
          <w:p>
            <w:pPr>
              <w:spacing w:after="0"/>
            </w:pPr>
            <w:r/>
            <w:r>
              <w:rPr>
                <w:rFonts w:ascii="Aptos" w:hAnsi="Aptos"/>
                <w:b/>
                <w:color w:val="FFFFFF"/>
                <w:sz w:val="17"/>
              </w:rPr>
              <w:t>Status</w:t>
            </w:r>
          </w:p>
        </w:tc>
        <w:tc>
          <w:tcPr>
            <w:tcW w:type="dxa" w:w="4320"/>
            <w:shd w:fill="1F4E78"/>
            <w:vAlign w:val="center"/>
            <w:tcMar>
              <w:top w:w="70" w:type="dxa"/>
              <w:start w:w="90" w:type="dxa"/>
              <w:bottom w:w="70" w:type="dxa"/>
              <w:end w:w="90" w:type="dxa"/>
            </w:tcMar>
          </w:tcPr>
          <w:p>
            <w:pPr>
              <w:spacing w:after="0"/>
            </w:pPr>
            <w:r/>
            <w:r>
              <w:rPr>
                <w:rFonts w:ascii="Aptos" w:hAnsi="Aptos"/>
                <w:b/>
                <w:color w:val="FFFFFF"/>
                <w:sz w:val="17"/>
              </w:rPr>
              <w:t>Summary of change</w:t>
            </w:r>
          </w:p>
        </w:tc>
      </w:tr>
      <w:tr>
        <w:tc>
          <w:tcPr>
            <w:tcW w:type="dxa" w:w="1008"/>
            <w:vAlign w:val="top"/>
            <w:tcMar>
              <w:top w:w="70" w:type="dxa"/>
              <w:start w:w="90" w:type="dxa"/>
              <w:bottom w:w="70" w:type="dxa"/>
              <w:end w:w="90" w:type="dxa"/>
            </w:tcMar>
          </w:tcPr>
          <w:p>
            <w:pPr>
              <w:spacing w:after="0"/>
            </w:pPr>
            <w:r/>
            <w:r>
              <w:rPr>
                <w:rFonts w:ascii="Aptos" w:hAnsi="Aptos"/>
                <w:b w:val="0"/>
                <w:sz w:val="17"/>
              </w:rPr>
              <w:t>0.1</w:t>
            </w:r>
          </w:p>
        </w:tc>
        <w:tc>
          <w:tcPr>
            <w:tcW w:type="dxa" w:w="1296"/>
            <w:vAlign w:val="top"/>
            <w:tcMar>
              <w:top w:w="70" w:type="dxa"/>
              <w:start w:w="90" w:type="dxa"/>
              <w:bottom w:w="70" w:type="dxa"/>
              <w:end w:w="90" w:type="dxa"/>
            </w:tcMar>
          </w:tcPr>
          <w:p>
            <w:pPr>
              <w:spacing w:after="0"/>
            </w:pPr>
            <w:r/>
            <w:r>
              <w:rPr>
                <w:rFonts w:ascii="Aptos" w:hAnsi="Aptos"/>
                <w:b w:val="0"/>
                <w:sz w:val="17"/>
              </w:rPr>
              <w:t>14 Jul 2026</w:t>
            </w:r>
          </w:p>
        </w:tc>
        <w:tc>
          <w:tcPr>
            <w:tcW w:type="dxa" w:w="1584"/>
            <w:vAlign w:val="top"/>
            <w:tcMar>
              <w:top w:w="70" w:type="dxa"/>
              <w:start w:w="90" w:type="dxa"/>
              <w:bottom w:w="70" w:type="dxa"/>
              <w:end w:w="90" w:type="dxa"/>
            </w:tcMar>
          </w:tcPr>
          <w:p>
            <w:pPr>
              <w:spacing w:after="0"/>
            </w:pPr>
            <w:r/>
            <w:r>
              <w:rPr>
                <w:rFonts w:ascii="Aptos" w:hAnsi="Aptos"/>
                <w:b w:val="0"/>
                <w:sz w:val="17"/>
              </w:rPr>
              <w:t>Allan Vissor</w:t>
            </w:r>
          </w:p>
        </w:tc>
        <w:tc>
          <w:tcPr>
            <w:tcW w:type="dxa" w:w="1584"/>
            <w:vAlign w:val="top"/>
            <w:tcMar>
              <w:top w:w="70" w:type="dxa"/>
              <w:start w:w="90" w:type="dxa"/>
              <w:bottom w:w="70" w:type="dxa"/>
              <w:end w:w="90" w:type="dxa"/>
            </w:tcMar>
          </w:tcPr>
          <w:p>
            <w:pPr>
              <w:spacing w:after="0"/>
            </w:pPr>
            <w:r/>
            <w:r>
              <w:rPr>
                <w:rFonts w:ascii="Aptos" w:hAnsi="Aptos"/>
                <w:b w:val="0"/>
                <w:sz w:val="17"/>
              </w:rPr>
              <w:t>Initial draft</w:t>
            </w:r>
          </w:p>
        </w:tc>
        <w:tc>
          <w:tcPr>
            <w:tcW w:type="dxa" w:w="4320"/>
            <w:vAlign w:val="top"/>
            <w:tcMar>
              <w:top w:w="70" w:type="dxa"/>
              <w:start w:w="90" w:type="dxa"/>
              <w:bottom w:w="70" w:type="dxa"/>
              <w:end w:w="90" w:type="dxa"/>
            </w:tcMar>
          </w:tcPr>
          <w:p>
            <w:pPr>
              <w:spacing w:after="0"/>
            </w:pPr>
            <w:r/>
            <w:r>
              <w:rPr>
                <w:rFonts w:ascii="Aptos" w:hAnsi="Aptos"/>
                <w:b w:val="0"/>
                <w:sz w:val="17"/>
              </w:rPr>
              <w:t>Initial business scope, requirements, governance model and reporting requirements.</w:t>
            </w:r>
          </w:p>
        </w:tc>
      </w:tr>
      <w:tr>
        <w:tc>
          <w:tcPr>
            <w:tcW w:type="dxa" w:w="1008"/>
            <w:vAlign w:val="top"/>
            <w:tcMar>
              <w:top w:w="70" w:type="dxa"/>
              <w:start w:w="90" w:type="dxa"/>
              <w:bottom w:w="70" w:type="dxa"/>
              <w:end w:w="90" w:type="dxa"/>
            </w:tcMar>
          </w:tcPr>
          <w:p>
            <w:pPr>
              <w:spacing w:after="0"/>
            </w:pPr>
            <w:r/>
            <w:r>
              <w:rPr>
                <w:rFonts w:ascii="Aptos" w:hAnsi="Aptos"/>
                <w:b w:val="0"/>
                <w:sz w:val="17"/>
              </w:rPr>
              <w:t>1.0</w:t>
            </w:r>
          </w:p>
        </w:tc>
        <w:tc>
          <w:tcPr>
            <w:tcW w:type="dxa" w:w="1296"/>
            <w:vAlign w:val="top"/>
            <w:tcMar>
              <w:top w:w="70" w:type="dxa"/>
              <w:start w:w="90" w:type="dxa"/>
              <w:bottom w:w="70" w:type="dxa"/>
              <w:end w:w="90" w:type="dxa"/>
            </w:tcMar>
          </w:tcPr>
          <w:p>
            <w:pPr>
              <w:spacing w:after="0"/>
            </w:pPr>
            <w:r/>
            <w:r>
              <w:rPr>
                <w:rFonts w:ascii="Aptos" w:hAnsi="Aptos"/>
                <w:b w:val="0"/>
                <w:sz w:val="17"/>
              </w:rPr>
              <w:t>14 Jul 2026</w:t>
            </w:r>
          </w:p>
        </w:tc>
        <w:tc>
          <w:tcPr>
            <w:tcW w:type="dxa" w:w="1584"/>
            <w:vAlign w:val="top"/>
            <w:tcMar>
              <w:top w:w="70" w:type="dxa"/>
              <w:start w:w="90" w:type="dxa"/>
              <w:bottom w:w="70" w:type="dxa"/>
              <w:end w:w="90" w:type="dxa"/>
            </w:tcMar>
          </w:tcPr>
          <w:p>
            <w:pPr>
              <w:spacing w:after="0"/>
            </w:pPr>
            <w:r/>
            <w:r>
              <w:rPr>
                <w:rFonts w:ascii="Aptos" w:hAnsi="Aptos"/>
                <w:b w:val="0"/>
                <w:sz w:val="17"/>
              </w:rPr>
              <w:t>Allan Vissor</w:t>
            </w:r>
          </w:p>
        </w:tc>
        <w:tc>
          <w:tcPr>
            <w:tcW w:type="dxa" w:w="1584"/>
            <w:vAlign w:val="top"/>
            <w:tcMar>
              <w:top w:w="70" w:type="dxa"/>
              <w:start w:w="90" w:type="dxa"/>
              <w:bottom w:w="70" w:type="dxa"/>
              <w:end w:w="90" w:type="dxa"/>
            </w:tcMar>
          </w:tcPr>
          <w:p>
            <w:pPr>
              <w:spacing w:after="0"/>
            </w:pPr>
            <w:r/>
            <w:r>
              <w:rPr>
                <w:rFonts w:ascii="Aptos" w:hAnsi="Aptos"/>
                <w:b w:val="0"/>
                <w:sz w:val="17"/>
              </w:rPr>
              <w:t>Portfolio baseline</w:t>
            </w:r>
          </w:p>
        </w:tc>
        <w:tc>
          <w:tcPr>
            <w:tcW w:type="dxa" w:w="4320"/>
            <w:vAlign w:val="top"/>
            <w:tcMar>
              <w:top w:w="70" w:type="dxa"/>
              <w:start w:w="90" w:type="dxa"/>
              <w:bottom w:w="70" w:type="dxa"/>
              <w:end w:w="90" w:type="dxa"/>
            </w:tcMar>
          </w:tcPr>
          <w:p>
            <w:pPr>
              <w:spacing w:after="0"/>
            </w:pPr>
            <w:r/>
            <w:r>
              <w:rPr>
                <w:rFonts w:ascii="Aptos" w:hAnsi="Aptos"/>
                <w:b w:val="0"/>
                <w:sz w:val="17"/>
              </w:rPr>
              <w:t>Aligned with the implemented Fabric Lakehouse, DQ controls and Power BI reports.</w:t>
            </w:r>
          </w:p>
        </w:tc>
      </w:tr>
    </w:tbl>
    <w:p>
      <w:pPr>
        <w:spacing w:after="0"/>
      </w:pP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8"/>
            <w:vAlign w:val="center"/>
            <w:tcMar>
              <w:top w:w="70" w:type="dxa"/>
              <w:start w:w="90" w:type="dxa"/>
              <w:bottom w:w="70" w:type="dxa"/>
              <w:end w:w="90" w:type="dxa"/>
            </w:tcMar>
          </w:tcPr>
          <w:p>
            <w:pPr>
              <w:spacing w:after="0"/>
            </w:pPr>
            <w:r/>
            <w:r>
              <w:rPr>
                <w:rFonts w:ascii="Aptos" w:hAnsi="Aptos"/>
                <w:b/>
                <w:color w:val="FFFFFF"/>
                <w:sz w:val="17"/>
              </w:rPr>
              <w:t>Role</w:t>
            </w:r>
          </w:p>
        </w:tc>
        <w:tc>
          <w:tcPr>
            <w:tcW w:type="dxa" w:w="7200"/>
            <w:shd w:fill="1F4E78"/>
            <w:vAlign w:val="center"/>
            <w:tcMar>
              <w:top w:w="70" w:type="dxa"/>
              <w:start w:w="90" w:type="dxa"/>
              <w:bottom w:w="70" w:type="dxa"/>
              <w:end w:w="90" w:type="dxa"/>
            </w:tcMar>
          </w:tcPr>
          <w:p>
            <w:pPr>
              <w:spacing w:after="0"/>
            </w:pPr>
            <w:r/>
            <w:r>
              <w:rPr>
                <w:rFonts w:ascii="Aptos" w:hAnsi="Aptos"/>
                <w:b/>
                <w:color w:val="FFFFFF"/>
                <w:sz w:val="17"/>
              </w:rPr>
              <w:t>Review responsibility</w:t>
            </w:r>
          </w:p>
        </w:tc>
      </w:tr>
      <w:tr>
        <w:tc>
          <w:tcPr>
            <w:tcW w:type="dxa" w:w="2592"/>
            <w:vAlign w:val="top"/>
            <w:tcMar>
              <w:top w:w="70" w:type="dxa"/>
              <w:start w:w="90" w:type="dxa"/>
              <w:bottom w:w="70" w:type="dxa"/>
              <w:end w:w="90" w:type="dxa"/>
            </w:tcMar>
          </w:tcPr>
          <w:p>
            <w:pPr>
              <w:spacing w:after="0"/>
            </w:pPr>
            <w:r/>
            <w:r>
              <w:rPr>
                <w:rFonts w:ascii="Aptos" w:hAnsi="Aptos"/>
                <w:b w:val="0"/>
                <w:sz w:val="18"/>
              </w:rPr>
              <w:t>Business Data Owner</w:t>
            </w:r>
          </w:p>
        </w:tc>
        <w:tc>
          <w:tcPr>
            <w:tcW w:type="dxa" w:w="7200"/>
            <w:vAlign w:val="top"/>
            <w:tcMar>
              <w:top w:w="70" w:type="dxa"/>
              <w:start w:w="90" w:type="dxa"/>
              <w:bottom w:w="70" w:type="dxa"/>
              <w:end w:w="90" w:type="dxa"/>
            </w:tcMar>
          </w:tcPr>
          <w:p>
            <w:pPr>
              <w:spacing w:after="0"/>
            </w:pPr>
            <w:r/>
            <w:r>
              <w:rPr>
                <w:rFonts w:ascii="Aptos" w:hAnsi="Aptos"/>
                <w:b w:val="0"/>
                <w:sz w:val="18"/>
              </w:rPr>
              <w:t>Approves business definitions, criticality, thresholds and remediation priorities.</w:t>
            </w:r>
          </w:p>
        </w:tc>
      </w:tr>
      <w:tr>
        <w:tc>
          <w:tcPr>
            <w:tcW w:type="dxa" w:w="2592"/>
            <w:vAlign w:val="top"/>
            <w:tcMar>
              <w:top w:w="70" w:type="dxa"/>
              <w:start w:w="90" w:type="dxa"/>
              <w:bottom w:w="70" w:type="dxa"/>
              <w:end w:w="90" w:type="dxa"/>
            </w:tcMar>
          </w:tcPr>
          <w:p>
            <w:pPr>
              <w:spacing w:after="0"/>
            </w:pPr>
            <w:r/>
            <w:r>
              <w:rPr>
                <w:rFonts w:ascii="Aptos" w:hAnsi="Aptos"/>
                <w:b w:val="0"/>
                <w:sz w:val="18"/>
              </w:rPr>
              <w:t>Data Steward</w:t>
            </w:r>
          </w:p>
        </w:tc>
        <w:tc>
          <w:tcPr>
            <w:tcW w:type="dxa" w:w="7200"/>
            <w:vAlign w:val="top"/>
            <w:tcMar>
              <w:top w:w="70" w:type="dxa"/>
              <w:start w:w="90" w:type="dxa"/>
              <w:bottom w:w="70" w:type="dxa"/>
              <w:end w:w="90" w:type="dxa"/>
            </w:tcMar>
          </w:tcPr>
          <w:p>
            <w:pPr>
              <w:spacing w:after="0"/>
            </w:pPr>
            <w:r/>
            <w:r>
              <w:rPr>
                <w:rFonts w:ascii="Aptos" w:hAnsi="Aptos"/>
                <w:b w:val="0"/>
                <w:sz w:val="18"/>
              </w:rPr>
              <w:t>Maintains metadata and DQ rules, investigates issues and coordinates remediation.</w:t>
            </w:r>
          </w:p>
        </w:tc>
      </w:tr>
      <w:tr>
        <w:tc>
          <w:tcPr>
            <w:tcW w:type="dxa" w:w="2592"/>
            <w:vAlign w:val="top"/>
            <w:tcMar>
              <w:top w:w="70" w:type="dxa"/>
              <w:start w:w="90" w:type="dxa"/>
              <w:bottom w:w="70" w:type="dxa"/>
              <w:end w:w="90" w:type="dxa"/>
            </w:tcMar>
          </w:tcPr>
          <w:p>
            <w:pPr>
              <w:spacing w:after="0"/>
            </w:pPr>
            <w:r/>
            <w:r>
              <w:rPr>
                <w:rFonts w:ascii="Aptos" w:hAnsi="Aptos"/>
                <w:b w:val="0"/>
                <w:sz w:val="18"/>
              </w:rPr>
              <w:t>Sales Reporting Owner</w:t>
            </w:r>
          </w:p>
        </w:tc>
        <w:tc>
          <w:tcPr>
            <w:tcW w:type="dxa" w:w="7200"/>
            <w:vAlign w:val="top"/>
            <w:tcMar>
              <w:top w:w="70" w:type="dxa"/>
              <w:start w:w="90" w:type="dxa"/>
              <w:bottom w:w="70" w:type="dxa"/>
              <w:end w:w="90" w:type="dxa"/>
            </w:tcMar>
          </w:tcPr>
          <w:p>
            <w:pPr>
              <w:spacing w:after="0"/>
            </w:pPr>
            <w:r/>
            <w:r>
              <w:rPr>
                <w:rFonts w:ascii="Aptos" w:hAnsi="Aptos"/>
                <w:b w:val="0"/>
                <w:sz w:val="18"/>
              </w:rPr>
              <w:t>Approves sales KPI definitions and reporting logic.</w:t>
            </w:r>
          </w:p>
        </w:tc>
      </w:tr>
      <w:tr>
        <w:tc>
          <w:tcPr>
            <w:tcW w:type="dxa" w:w="2592"/>
            <w:vAlign w:val="top"/>
            <w:tcMar>
              <w:top w:w="70" w:type="dxa"/>
              <w:start w:w="90" w:type="dxa"/>
              <w:bottom w:w="70" w:type="dxa"/>
              <w:end w:w="90" w:type="dxa"/>
            </w:tcMar>
          </w:tcPr>
          <w:p>
            <w:pPr>
              <w:spacing w:after="0"/>
            </w:pPr>
            <w:r/>
            <w:r>
              <w:rPr>
                <w:rFonts w:ascii="Aptos" w:hAnsi="Aptos"/>
                <w:b w:val="0"/>
                <w:sz w:val="18"/>
              </w:rPr>
              <w:t>Data Engineering / BI</w:t>
            </w:r>
          </w:p>
        </w:tc>
        <w:tc>
          <w:tcPr>
            <w:tcW w:type="dxa" w:w="7200"/>
            <w:vAlign w:val="top"/>
            <w:tcMar>
              <w:top w:w="70" w:type="dxa"/>
              <w:start w:w="90" w:type="dxa"/>
              <w:bottom w:w="70" w:type="dxa"/>
              <w:end w:w="90" w:type="dxa"/>
            </w:tcMar>
          </w:tcPr>
          <w:p>
            <w:pPr>
              <w:spacing w:after="0"/>
            </w:pPr>
            <w:r/>
            <w:r>
              <w:rPr>
                <w:rFonts w:ascii="Aptos" w:hAnsi="Aptos"/>
                <w:b w:val="0"/>
                <w:sz w:val="18"/>
              </w:rPr>
              <w:t>Implements transformations, DQ controls, semantic models and reports.</w:t>
            </w:r>
          </w:p>
        </w:tc>
      </w:tr>
    </w:tbl>
    <w:p>
      <w:pPr>
        <w:spacing w:after="0"/>
      </w:pPr>
    </w:p>
    <w:p>
      <w:pPr>
        <w:pStyle w:val="Heading1"/>
        <w:keepNext/>
        <w:spacing w:before="200" w:after="80"/>
      </w:pPr>
      <w:r>
        <w:t>1. Executive Summary</w:t>
      </w:r>
    </w:p>
    <w:p>
      <w:pPr>
        <w:spacing w:after="120" w:line="259" w:lineRule="auto"/>
      </w:pPr>
      <w:r>
        <w:rPr>
          <w:sz w:val="21"/>
        </w:rPr>
        <w:t>This portfolio project demonstrates an end-to-end approach to data governance, data quality management and trustworthy banking sales reporting. The solution is implemented in Microsoft Fabric and Power BI and is organised into two governed business domains: Legal Entity Data and Banking Sales Reporting.</w:t>
      </w:r>
    </w:p>
    <w:p>
      <w:pPr>
        <w:spacing w:after="120" w:line="259" w:lineRule="auto"/>
      </w:pPr>
      <w:r>
        <w:rPr>
          <w:sz w:val="21"/>
        </w:rPr>
        <w:t>The Legal Entity Data domain creates a trusted Golden Record by combining registry, CRM and KYC information according to explicit source-authority and survivorship rules. The Banking Sales Reporting domain applies an approved definition of a governed sale, removes duplicate contracts from reporting, and produces monthly actual-versus-target KPIs.</w:t>
      </w:r>
    </w:p>
    <w:p>
      <w:pPr>
        <w:spacing w:after="120" w:line="259" w:lineRule="auto"/>
      </w:pPr>
      <w:r>
        <w:rPr>
          <w:sz w:val="21"/>
        </w:rPr>
        <w:t>Data quality controls are executed against the Silver and Gold layers. Their results are stored in a governance table and presented in a Power BI Data Quality report. A separate Sales report presents management KPIs using only governed records. Together, these outputs show how data quality controls protect management reporting from duplication, incompleteness, invalid classifications and inconsistent business definitions.</w:t>
      </w:r>
    </w:p>
    <w:p>
      <w:pPr>
        <w:pStyle w:val="Heading1"/>
        <w:keepNext/>
        <w:spacing w:before="200" w:after="80"/>
      </w:pPr>
      <w:r>
        <w:t>2. Business Background and Problem Statement</w:t>
      </w:r>
    </w:p>
    <w:p>
      <w:pPr>
        <w:spacing w:after="120" w:line="259" w:lineRule="auto"/>
      </w:pPr>
      <w:r>
        <w:rPr>
          <w:sz w:val="21"/>
        </w:rPr>
        <w:t>Banking organisations use customer, legal entity, product contract and sales data across CRM, KYC, registry, reporting and operational systems. These systems may contain different representations of the same entity, incomplete identifiers, conflicting statuses and duplicate records. Without explicit governance, such issues can distort management reporting and regulatory or operational decision-making.</w:t>
      </w:r>
    </w:p>
    <w:p>
      <w:pPr>
        <w:spacing w:after="120" w:line="259" w:lineRule="auto"/>
      </w:pPr>
      <w:r>
        <w:rPr>
          <w:sz w:val="21"/>
        </w:rPr>
        <w:t>The project addresses two related but distinct business needs:</w:t>
      </w:r>
    </w:p>
    <w:p>
      <w:pPr>
        <w:pStyle w:val="ListBullet"/>
        <w:spacing w:after="60" w:line="252" w:lineRule="auto"/>
      </w:pPr>
      <w:r>
        <w:rPr>
          <w:sz w:val="21"/>
        </w:rPr>
        <w:t>Legal entity information must be complete, consistent, traceable and consolidated into one trusted representation.</w:t>
      </w:r>
    </w:p>
    <w:p>
      <w:pPr>
        <w:pStyle w:val="ListBullet"/>
        <w:spacing w:after="60" w:line="252" w:lineRule="auto"/>
      </w:pPr>
      <w:r>
        <w:rPr>
          <w:sz w:val="21"/>
        </w:rPr>
        <w:t>Banking sales KPIs must be calculated from a consistent and approved business definition, not from an unfiltered count of source-system rows.</w:t>
      </w:r>
    </w:p>
    <w:p>
      <w:pPr>
        <w:pStyle w:val="Heading2"/>
        <w:keepNext/>
        <w:spacing w:before="200" w:after="80"/>
      </w:pPr>
      <w:r>
        <w:t>2.1 Key Business Problems</w:t>
      </w:r>
    </w:p>
    <w:p>
      <w:pPr>
        <w:pStyle w:val="ListBullet"/>
        <w:spacing w:after="60" w:line="252" w:lineRule="auto"/>
      </w:pPr>
      <w:r>
        <w:rPr>
          <w:sz w:val="21"/>
        </w:rPr>
        <w:t>The same legal entity can appear multiple times in CRM with different formatting or duplicate identifiers.</w:t>
      </w:r>
    </w:p>
    <w:p>
      <w:pPr>
        <w:pStyle w:val="ListBullet"/>
        <w:spacing w:after="60" w:line="252" w:lineRule="auto"/>
      </w:pPr>
      <w:r>
        <w:rPr>
          <w:sz w:val="21"/>
        </w:rPr>
        <w:t>Registry, CRM and KYC systems can contain conflicting statuses or missing attributes.</w:t>
      </w:r>
    </w:p>
    <w:p>
      <w:pPr>
        <w:pStyle w:val="ListBullet"/>
        <w:spacing w:after="60" w:line="252" w:lineRule="auto"/>
      </w:pPr>
      <w:r>
        <w:rPr>
          <w:sz w:val="21"/>
        </w:rPr>
        <w:t>Missing registry codes prevent reliable legal entity matching and may affect KYC, compliance and reporting processes.</w:t>
      </w:r>
    </w:p>
    <w:p>
      <w:pPr>
        <w:pStyle w:val="ListBullet"/>
        <w:spacing w:after="60" w:line="252" w:lineRule="auto"/>
      </w:pPr>
      <w:r>
        <w:rPr>
          <w:sz w:val="21"/>
        </w:rPr>
        <w:t>Duplicate product contracts can overstate the number and value of sales.</w:t>
      </w:r>
    </w:p>
    <w:p>
      <w:pPr>
        <w:pStyle w:val="ListBullet"/>
        <w:spacing w:after="60" w:line="252" w:lineRule="auto"/>
      </w:pPr>
      <w:r>
        <w:rPr>
          <w:sz w:val="21"/>
        </w:rPr>
        <w:t>Cancelled, rejected, pending or incomplete contracts can be incorrectly interpreted as completed sales.</w:t>
      </w:r>
    </w:p>
    <w:p>
      <w:pPr>
        <w:pStyle w:val="ListBullet"/>
        <w:spacing w:after="60" w:line="252" w:lineRule="auto"/>
      </w:pPr>
      <w:r>
        <w:rPr>
          <w:sz w:val="21"/>
        </w:rPr>
        <w:t>Unapproved product categories can create inconsistent product-level reporting.</w:t>
      </w:r>
    </w:p>
    <w:p>
      <w:pPr>
        <w:pStyle w:val="ListBullet"/>
        <w:spacing w:after="60" w:line="252" w:lineRule="auto"/>
      </w:pPr>
      <w:r>
        <w:rPr>
          <w:sz w:val="21"/>
        </w:rPr>
        <w:t>Different data sets or reporting periods can produce different values for KPIs carrying the same name.</w:t>
      </w:r>
    </w:p>
    <w:p>
      <w:pPr>
        <w:pStyle w:val="ListBullet"/>
        <w:spacing w:after="60" w:line="252" w:lineRule="auto"/>
      </w:pPr>
      <w:r>
        <w:rPr>
          <w:sz w:val="21"/>
        </w:rPr>
        <w:t>Data owners and stewards need a transparent view of failed rules, affected records, severity and business domain.</w:t>
      </w:r>
    </w:p>
    <w:p>
      <w:pPr>
        <w:pStyle w:val="Heading1"/>
        <w:keepNext/>
        <w:spacing w:before="200" w:after="80"/>
      </w:pPr>
      <w:r>
        <w:t>3. Objectives and Success Criteria</w:t>
      </w:r>
    </w:p>
    <w:p>
      <w:pPr>
        <w:pStyle w:val="Heading2"/>
        <w:keepNext/>
        <w:spacing w:before="200" w:after="80"/>
      </w:pPr>
      <w:r>
        <w:t>3.1 Business Objectives</w:t>
      </w:r>
    </w:p>
    <w:p>
      <w:pPr>
        <w:pStyle w:val="ListBullet"/>
        <w:spacing w:after="60" w:line="252" w:lineRule="auto"/>
      </w:pPr>
      <w:r>
        <w:rPr>
          <w:sz w:val="21"/>
        </w:rPr>
        <w:t>Establish a trusted Golden Record for legal entities.</w:t>
      </w:r>
    </w:p>
    <w:p>
      <w:pPr>
        <w:pStyle w:val="ListBullet"/>
        <w:spacing w:after="60" w:line="252" w:lineRule="auto"/>
      </w:pPr>
      <w:r>
        <w:rPr>
          <w:sz w:val="21"/>
        </w:rPr>
        <w:t>Define authoritative sources and survivorship rules for legal identity, customer relationship and KYC attributes.</w:t>
      </w:r>
    </w:p>
    <w:p>
      <w:pPr>
        <w:pStyle w:val="ListBullet"/>
        <w:spacing w:after="60" w:line="252" w:lineRule="auto"/>
      </w:pPr>
      <w:r>
        <w:rPr>
          <w:sz w:val="21"/>
        </w:rPr>
        <w:t>Define and implement a governed banking sale used consistently in management reporting.</w:t>
      </w:r>
    </w:p>
    <w:p>
      <w:pPr>
        <w:pStyle w:val="ListBullet"/>
        <w:spacing w:after="60" w:line="252" w:lineRule="auto"/>
      </w:pPr>
      <w:r>
        <w:rPr>
          <w:sz w:val="21"/>
        </w:rPr>
        <w:t>Prevent duplicate, invalid or incomplete contracts from distorting governed sales KPIs.</w:t>
      </w:r>
    </w:p>
    <w:p>
      <w:pPr>
        <w:pStyle w:val="ListBullet"/>
        <w:spacing w:after="60" w:line="252" w:lineRule="auto"/>
      </w:pPr>
      <w:r>
        <w:rPr>
          <w:sz w:val="21"/>
        </w:rPr>
        <w:t>Provide transparent DQ monitoring by business domain, rule, severity and DQ dimension.</w:t>
      </w:r>
    </w:p>
    <w:p>
      <w:pPr>
        <w:pStyle w:val="ListBullet"/>
        <w:spacing w:after="60" w:line="252" w:lineRule="auto"/>
      </w:pPr>
      <w:r>
        <w:rPr>
          <w:sz w:val="21"/>
        </w:rPr>
        <w:t>Provide management with actual-versus-target sales reporting based on governed data.</w:t>
      </w:r>
    </w:p>
    <w:p>
      <w:pPr>
        <w:pStyle w:val="ListBullet"/>
        <w:spacing w:after="60" w:line="252" w:lineRule="auto"/>
      </w:pPr>
      <w:r>
        <w:rPr>
          <w:sz w:val="21"/>
        </w:rPr>
        <w:t>Create traceable documentation that can be transferred into Microsoft Purview or another enterprise data catalog.</w:t>
      </w:r>
    </w:p>
    <w:p>
      <w:pPr>
        <w:pStyle w:val="Heading2"/>
        <w:keepNext/>
        <w:spacing w:before="200" w:after="80"/>
      </w:pPr>
      <w:r>
        <w:t>3.2 Success Criteria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shd w:fill="1F4E78"/>
            <w:vAlign w:val="center"/>
            <w:tcMar>
              <w:top w:w="70" w:type="dxa"/>
              <w:start w:w="90" w:type="dxa"/>
              <w:bottom w:w="70" w:type="dxa"/>
              <w:end w:w="90" w:type="dxa"/>
            </w:tcMar>
          </w:tcPr>
          <w:p>
            <w:pPr>
              <w:spacing w:after="0"/>
            </w:pPr>
            <w:r/>
            <w:r>
              <w:rPr>
                <w:rFonts w:ascii="Aptos" w:hAnsi="Aptos"/>
                <w:b/>
                <w:color w:val="FFFFFF"/>
                <w:sz w:val="17"/>
              </w:rPr>
              <w:t>ID</w:t>
            </w:r>
          </w:p>
        </w:tc>
        <w:tc>
          <w:tcPr>
            <w:tcW w:type="dxa" w:w="4608"/>
            <w:shd w:fill="1F4E78"/>
            <w:vAlign w:val="center"/>
            <w:tcMar>
              <w:top w:w="70" w:type="dxa"/>
              <w:start w:w="90" w:type="dxa"/>
              <w:bottom w:w="70" w:type="dxa"/>
              <w:end w:w="90" w:type="dxa"/>
            </w:tcMar>
          </w:tcPr>
          <w:p>
            <w:pPr>
              <w:spacing w:after="0"/>
            </w:pPr>
            <w:r/>
            <w:r>
              <w:rPr>
                <w:rFonts w:ascii="Aptos" w:hAnsi="Aptos"/>
                <w:b/>
                <w:color w:val="FFFFFF"/>
                <w:sz w:val="17"/>
              </w:rPr>
              <w:t>Success criterion</w:t>
            </w:r>
          </w:p>
        </w:tc>
        <w:tc>
          <w:tcPr>
            <w:tcW w:type="dxa" w:w="4608"/>
            <w:shd w:fill="1F4E78"/>
            <w:vAlign w:val="center"/>
            <w:tcMar>
              <w:top w:w="70" w:type="dxa"/>
              <w:start w:w="90" w:type="dxa"/>
              <w:bottom w:w="70" w:type="dxa"/>
              <w:end w:w="90" w:type="dxa"/>
            </w:tcMar>
          </w:tcPr>
          <w:p>
            <w:pPr>
              <w:spacing w:after="0"/>
            </w:pPr>
            <w:r/>
            <w:r>
              <w:rPr>
                <w:rFonts w:ascii="Aptos" w:hAnsi="Aptos"/>
                <w:b/>
                <w:color w:val="FFFFFF"/>
                <w:sz w:val="17"/>
              </w:rPr>
              <w:t>Evidence</w:t>
            </w:r>
          </w:p>
        </w:tc>
      </w:tr>
      <w:tr>
        <w:tc>
          <w:tcPr>
            <w:tcW w:type="dxa" w:w="1008"/>
            <w:vAlign w:val="top"/>
            <w:tcMar>
              <w:top w:w="70" w:type="dxa"/>
              <w:start w:w="90" w:type="dxa"/>
              <w:bottom w:w="70" w:type="dxa"/>
              <w:end w:w="90" w:type="dxa"/>
            </w:tcMar>
          </w:tcPr>
          <w:p>
            <w:pPr>
              <w:spacing w:after="0"/>
            </w:pPr>
            <w:r/>
            <w:r>
              <w:rPr>
                <w:rFonts w:ascii="Aptos" w:hAnsi="Aptos"/>
                <w:b w:val="0"/>
                <w:sz w:val="17"/>
              </w:rPr>
              <w:t>SC-01</w:t>
            </w:r>
          </w:p>
        </w:tc>
        <w:tc>
          <w:tcPr>
            <w:tcW w:type="dxa" w:w="4608"/>
            <w:vAlign w:val="top"/>
            <w:tcMar>
              <w:top w:w="70" w:type="dxa"/>
              <w:start w:w="90" w:type="dxa"/>
              <w:bottom w:w="70" w:type="dxa"/>
              <w:end w:w="90" w:type="dxa"/>
            </w:tcMar>
          </w:tcPr>
          <w:p>
            <w:pPr>
              <w:spacing w:after="0"/>
            </w:pPr>
            <w:r/>
            <w:r>
              <w:rPr>
                <w:rFonts w:ascii="Aptos" w:hAnsi="Aptos"/>
                <w:b w:val="0"/>
                <w:sz w:val="17"/>
              </w:rPr>
              <w:t>One trusted legal entity record is created for each valid registry entity.</w:t>
            </w:r>
          </w:p>
        </w:tc>
        <w:tc>
          <w:tcPr>
            <w:tcW w:type="dxa" w:w="4608"/>
            <w:vAlign w:val="top"/>
            <w:tcMar>
              <w:top w:w="70" w:type="dxa"/>
              <w:start w:w="90" w:type="dxa"/>
              <w:bottom w:w="70" w:type="dxa"/>
              <w:end w:w="90" w:type="dxa"/>
            </w:tcMar>
          </w:tcPr>
          <w:p>
            <w:pPr>
              <w:spacing w:after="0"/>
            </w:pPr>
            <w:r/>
            <w:r>
              <w:rPr>
                <w:rFonts w:ascii="Aptos" w:hAnsi="Aptos"/>
                <w:b w:val="0"/>
                <w:sz w:val="17"/>
              </w:rPr>
              <w:t>gold.dim_legal_entity_golden contains 98 trusted records from 100 source registry records; two invalid-country records are excluded and visible through DQ controls.</w:t>
            </w:r>
          </w:p>
        </w:tc>
      </w:tr>
      <w:tr>
        <w:tc>
          <w:tcPr>
            <w:tcW w:type="dxa" w:w="1008"/>
            <w:vAlign w:val="top"/>
            <w:tcMar>
              <w:top w:w="70" w:type="dxa"/>
              <w:start w:w="90" w:type="dxa"/>
              <w:bottom w:w="70" w:type="dxa"/>
              <w:end w:w="90" w:type="dxa"/>
            </w:tcMar>
          </w:tcPr>
          <w:p>
            <w:pPr>
              <w:spacing w:after="0"/>
            </w:pPr>
            <w:r/>
            <w:r>
              <w:rPr>
                <w:rFonts w:ascii="Aptos" w:hAnsi="Aptos"/>
                <w:b w:val="0"/>
                <w:sz w:val="17"/>
              </w:rPr>
              <w:t>SC-02</w:t>
            </w:r>
          </w:p>
        </w:tc>
        <w:tc>
          <w:tcPr>
            <w:tcW w:type="dxa" w:w="4608"/>
            <w:vAlign w:val="top"/>
            <w:tcMar>
              <w:top w:w="70" w:type="dxa"/>
              <w:start w:w="90" w:type="dxa"/>
              <w:bottom w:w="70" w:type="dxa"/>
              <w:end w:w="90" w:type="dxa"/>
            </w:tcMar>
          </w:tcPr>
          <w:p>
            <w:pPr>
              <w:spacing w:after="0"/>
            </w:pPr>
            <w:r/>
            <w:r>
              <w:rPr>
                <w:rFonts w:ascii="Aptos" w:hAnsi="Aptos"/>
                <w:b w:val="0"/>
                <w:sz w:val="17"/>
              </w:rPr>
              <w:t>Duplicate product contracts do not inflate Gold-level reporting.</w:t>
            </w:r>
          </w:p>
        </w:tc>
        <w:tc>
          <w:tcPr>
            <w:tcW w:type="dxa" w:w="4608"/>
            <w:vAlign w:val="top"/>
            <w:tcMar>
              <w:top w:w="70" w:type="dxa"/>
              <w:start w:w="90" w:type="dxa"/>
              <w:bottom w:w="70" w:type="dxa"/>
              <w:end w:w="90" w:type="dxa"/>
            </w:tcMar>
          </w:tcPr>
          <w:p>
            <w:pPr>
              <w:spacing w:after="0"/>
            </w:pPr>
            <w:r/>
            <w:r>
              <w:rPr>
                <w:rFonts w:ascii="Aptos" w:hAnsi="Aptos"/>
                <w:b w:val="0"/>
                <w:sz w:val="17"/>
              </w:rPr>
              <w:t>25 duplicate contract rows are detected in Silver and removed before the Gold fact table, producing 1,000 unique contracts.</w:t>
            </w:r>
          </w:p>
        </w:tc>
      </w:tr>
      <w:tr>
        <w:tc>
          <w:tcPr>
            <w:tcW w:type="dxa" w:w="1008"/>
            <w:vAlign w:val="top"/>
            <w:tcMar>
              <w:top w:w="70" w:type="dxa"/>
              <w:start w:w="90" w:type="dxa"/>
              <w:bottom w:w="70" w:type="dxa"/>
              <w:end w:w="90" w:type="dxa"/>
            </w:tcMar>
          </w:tcPr>
          <w:p>
            <w:pPr>
              <w:spacing w:after="0"/>
            </w:pPr>
            <w:r/>
            <w:r>
              <w:rPr>
                <w:rFonts w:ascii="Aptos" w:hAnsi="Aptos"/>
                <w:b w:val="0"/>
                <w:sz w:val="17"/>
              </w:rPr>
              <w:t>SC-03</w:t>
            </w:r>
          </w:p>
        </w:tc>
        <w:tc>
          <w:tcPr>
            <w:tcW w:type="dxa" w:w="4608"/>
            <w:vAlign w:val="top"/>
            <w:tcMar>
              <w:top w:w="70" w:type="dxa"/>
              <w:start w:w="90" w:type="dxa"/>
              <w:bottom w:w="70" w:type="dxa"/>
              <w:end w:w="90" w:type="dxa"/>
            </w:tcMar>
          </w:tcPr>
          <w:p>
            <w:pPr>
              <w:spacing w:after="0"/>
            </w:pPr>
            <w:r/>
            <w:r>
              <w:rPr>
                <w:rFonts w:ascii="Aptos" w:hAnsi="Aptos"/>
                <w:b w:val="0"/>
                <w:sz w:val="17"/>
              </w:rPr>
              <w:t>Only contracts meeting the approved sale definition contribute to governed sales KPIs.</w:t>
            </w:r>
          </w:p>
        </w:tc>
        <w:tc>
          <w:tcPr>
            <w:tcW w:type="dxa" w:w="4608"/>
            <w:vAlign w:val="top"/>
            <w:tcMar>
              <w:top w:w="70" w:type="dxa"/>
              <w:start w:w="90" w:type="dxa"/>
              <w:bottom w:w="70" w:type="dxa"/>
              <w:end w:w="90" w:type="dxa"/>
            </w:tcMar>
          </w:tcPr>
          <w:p>
            <w:pPr>
              <w:spacing w:after="0"/>
            </w:pPr>
            <w:r/>
            <w:r>
              <w:rPr>
                <w:rFonts w:ascii="Aptos" w:hAnsi="Aptos"/>
                <w:b w:val="0"/>
                <w:sz w:val="17"/>
              </w:rPr>
              <w:t>is_governed_sale is calculated in gold.fct_banking_product_sales.</w:t>
            </w:r>
          </w:p>
        </w:tc>
      </w:tr>
      <w:tr>
        <w:tc>
          <w:tcPr>
            <w:tcW w:type="dxa" w:w="1008"/>
            <w:vAlign w:val="top"/>
            <w:tcMar>
              <w:top w:w="70" w:type="dxa"/>
              <w:start w:w="90" w:type="dxa"/>
              <w:bottom w:w="70" w:type="dxa"/>
              <w:end w:w="90" w:type="dxa"/>
            </w:tcMar>
          </w:tcPr>
          <w:p>
            <w:pPr>
              <w:spacing w:after="0"/>
            </w:pPr>
            <w:r/>
            <w:r>
              <w:rPr>
                <w:rFonts w:ascii="Aptos" w:hAnsi="Aptos"/>
                <w:b w:val="0"/>
                <w:sz w:val="17"/>
              </w:rPr>
              <w:t>SC-04</w:t>
            </w:r>
          </w:p>
        </w:tc>
        <w:tc>
          <w:tcPr>
            <w:tcW w:type="dxa" w:w="4608"/>
            <w:vAlign w:val="top"/>
            <w:tcMar>
              <w:top w:w="70" w:type="dxa"/>
              <w:start w:w="90" w:type="dxa"/>
              <w:bottom w:w="70" w:type="dxa"/>
              <w:end w:w="90" w:type="dxa"/>
            </w:tcMar>
          </w:tcPr>
          <w:p>
            <w:pPr>
              <w:spacing w:after="0"/>
            </w:pPr>
            <w:r/>
            <w:r>
              <w:rPr>
                <w:rFonts w:ascii="Aptos" w:hAnsi="Aptos"/>
                <w:b w:val="0"/>
                <w:sz w:val="17"/>
              </w:rPr>
              <w:t>DQ rule outcomes are reportable and traceable.</w:t>
            </w:r>
          </w:p>
        </w:tc>
        <w:tc>
          <w:tcPr>
            <w:tcW w:type="dxa" w:w="4608"/>
            <w:vAlign w:val="top"/>
            <w:tcMar>
              <w:top w:w="70" w:type="dxa"/>
              <w:start w:w="90" w:type="dxa"/>
              <w:bottom w:w="70" w:type="dxa"/>
              <w:end w:w="90" w:type="dxa"/>
            </w:tcMar>
          </w:tcPr>
          <w:p>
            <w:pPr>
              <w:spacing w:after="0"/>
            </w:pPr>
            <w:r/>
            <w:r>
              <w:rPr>
                <w:rFonts w:ascii="Aptos" w:hAnsi="Aptos"/>
                <w:b w:val="0"/>
                <w:sz w:val="17"/>
              </w:rPr>
              <w:t>governance.dq_rule_results stores 12 rule outcomes with failed-record counts, severity and execution timestamp.</w:t>
            </w:r>
          </w:p>
        </w:tc>
      </w:tr>
      <w:tr>
        <w:tc>
          <w:tcPr>
            <w:tcW w:type="dxa" w:w="1008"/>
            <w:vAlign w:val="top"/>
            <w:tcMar>
              <w:top w:w="70" w:type="dxa"/>
              <w:start w:w="90" w:type="dxa"/>
              <w:bottom w:w="70" w:type="dxa"/>
              <w:end w:w="90" w:type="dxa"/>
            </w:tcMar>
          </w:tcPr>
          <w:p>
            <w:pPr>
              <w:spacing w:after="0"/>
            </w:pPr>
            <w:r/>
            <w:r>
              <w:rPr>
                <w:rFonts w:ascii="Aptos" w:hAnsi="Aptos"/>
                <w:b w:val="0"/>
                <w:sz w:val="17"/>
              </w:rPr>
              <w:t>SC-05</w:t>
            </w:r>
          </w:p>
        </w:tc>
        <w:tc>
          <w:tcPr>
            <w:tcW w:type="dxa" w:w="4608"/>
            <w:vAlign w:val="top"/>
            <w:tcMar>
              <w:top w:w="70" w:type="dxa"/>
              <w:start w:w="90" w:type="dxa"/>
              <w:bottom w:w="70" w:type="dxa"/>
              <w:end w:w="90" w:type="dxa"/>
            </w:tcMar>
          </w:tcPr>
          <w:p>
            <w:pPr>
              <w:spacing w:after="0"/>
            </w:pPr>
            <w:r/>
            <w:r>
              <w:rPr>
                <w:rFonts w:ascii="Aptos" w:hAnsi="Aptos"/>
                <w:b w:val="0"/>
                <w:sz w:val="17"/>
              </w:rPr>
              <w:t>Management can compare actual sales with targets by month, product and channel.</w:t>
            </w:r>
          </w:p>
        </w:tc>
        <w:tc>
          <w:tcPr>
            <w:tcW w:type="dxa" w:w="4608"/>
            <w:vAlign w:val="top"/>
            <w:tcMar>
              <w:top w:w="70" w:type="dxa"/>
              <w:start w:w="90" w:type="dxa"/>
              <w:bottom w:w="70" w:type="dxa"/>
              <w:end w:w="90" w:type="dxa"/>
            </w:tcMar>
          </w:tcPr>
          <w:p>
            <w:pPr>
              <w:spacing w:after="0"/>
            </w:pPr>
            <w:r/>
            <w:r>
              <w:rPr>
                <w:rFonts w:ascii="Aptos" w:hAnsi="Aptos"/>
                <w:b w:val="0"/>
                <w:sz w:val="17"/>
              </w:rPr>
              <w:t>gold.mart_monthly_sales_kpis and the Sales Overview report.</w:t>
            </w:r>
          </w:p>
        </w:tc>
      </w:tr>
      <w:tr>
        <w:tc>
          <w:tcPr>
            <w:tcW w:type="dxa" w:w="1008"/>
            <w:vAlign w:val="top"/>
            <w:tcMar>
              <w:top w:w="70" w:type="dxa"/>
              <w:start w:w="90" w:type="dxa"/>
              <w:bottom w:w="70" w:type="dxa"/>
              <w:end w:w="90" w:type="dxa"/>
            </w:tcMar>
          </w:tcPr>
          <w:p>
            <w:pPr>
              <w:spacing w:after="0"/>
            </w:pPr>
            <w:r/>
            <w:r>
              <w:rPr>
                <w:rFonts w:ascii="Aptos" w:hAnsi="Aptos"/>
                <w:b w:val="0"/>
                <w:sz w:val="17"/>
              </w:rPr>
              <w:t>SC-06</w:t>
            </w:r>
          </w:p>
        </w:tc>
        <w:tc>
          <w:tcPr>
            <w:tcW w:type="dxa" w:w="4608"/>
            <w:vAlign w:val="top"/>
            <w:tcMar>
              <w:top w:w="70" w:type="dxa"/>
              <w:start w:w="90" w:type="dxa"/>
              <w:bottom w:w="70" w:type="dxa"/>
              <w:end w:w="90" w:type="dxa"/>
            </w:tcMar>
          </w:tcPr>
          <w:p>
            <w:pPr>
              <w:spacing w:after="0"/>
            </w:pPr>
            <w:r/>
            <w:r>
              <w:rPr>
                <w:rFonts w:ascii="Aptos" w:hAnsi="Aptos"/>
                <w:b w:val="0"/>
                <w:sz w:val="17"/>
              </w:rPr>
              <w:t>The entire transformation process is repeatable.</w:t>
            </w:r>
          </w:p>
        </w:tc>
        <w:tc>
          <w:tcPr>
            <w:tcW w:type="dxa" w:w="4608"/>
            <w:vAlign w:val="top"/>
            <w:tcMar>
              <w:top w:w="70" w:type="dxa"/>
              <w:start w:w="90" w:type="dxa"/>
              <w:bottom w:w="70" w:type="dxa"/>
              <w:end w:w="90" w:type="dxa"/>
            </w:tcMar>
          </w:tcPr>
          <w:p>
            <w:pPr>
              <w:spacing w:after="0"/>
            </w:pPr>
            <w:r/>
            <w:r>
              <w:rPr>
                <w:rFonts w:ascii="Aptos" w:hAnsi="Aptos"/>
                <w:b w:val="0"/>
                <w:sz w:val="17"/>
              </w:rPr>
              <w:t>Four notebooks are orchestrated in one Fabric Data Pipeline.</w:t>
            </w:r>
          </w:p>
        </w:tc>
      </w:tr>
    </w:tbl>
    <w:p>
      <w:pPr>
        <w:spacing w:after="0"/>
      </w:pPr>
    </w:p>
    <w:p>
      <w:pPr>
        <w:pStyle w:val="Heading1"/>
        <w:keepNext/>
        <w:spacing w:before="200" w:after="80"/>
      </w:pPr>
      <w:r>
        <w:t>4. Scope</w:t>
      </w:r>
    </w:p>
    <w:p>
      <w:pPr>
        <w:pStyle w:val="Heading2"/>
        <w:keepNext/>
        <w:spacing w:before="200" w:after="80"/>
      </w:pPr>
      <w:r>
        <w:t>4.1 In Scope</w:t>
      </w:r>
    </w:p>
    <w:p>
      <w:pPr>
        <w:pStyle w:val="ListBullet"/>
        <w:spacing w:after="60" w:line="252" w:lineRule="auto"/>
      </w:pPr>
      <w:r>
        <w:rPr>
          <w:sz w:val="21"/>
        </w:rPr>
        <w:t>Synthetic Baltic banking source data for legal entities, customers, branches, product contracts and sales targets.</w:t>
      </w:r>
    </w:p>
    <w:p>
      <w:pPr>
        <w:pStyle w:val="ListBullet"/>
        <w:spacing w:after="60" w:line="252" w:lineRule="auto"/>
      </w:pPr>
      <w:r>
        <w:rPr>
          <w:sz w:val="21"/>
        </w:rPr>
        <w:t>Bronze, Silver, Gold and Governance schemas in a Microsoft Fabric Lakehouse.</w:t>
      </w:r>
    </w:p>
    <w:p>
      <w:pPr>
        <w:pStyle w:val="ListBullet"/>
        <w:spacing w:after="60" w:line="252" w:lineRule="auto"/>
      </w:pPr>
      <w:r>
        <w:rPr>
          <w:sz w:val="21"/>
        </w:rPr>
        <w:t>Legal entity standardisation, source matching, survivorship logic and Golden Record creation.</w:t>
      </w:r>
    </w:p>
    <w:p>
      <w:pPr>
        <w:pStyle w:val="ListBullet"/>
        <w:spacing w:after="60" w:line="252" w:lineRule="auto"/>
      </w:pPr>
      <w:r>
        <w:rPr>
          <w:sz w:val="21"/>
        </w:rPr>
        <w:t>Banking product contract deduplication and governed-sale classification.</w:t>
      </w:r>
    </w:p>
    <w:p>
      <w:pPr>
        <w:pStyle w:val="ListBullet"/>
        <w:spacing w:after="60" w:line="252" w:lineRule="auto"/>
      </w:pPr>
      <w:r>
        <w:rPr>
          <w:sz w:val="21"/>
        </w:rPr>
        <w:t>Monthly sales KPI aggregation and actual-versus-target analysis.</w:t>
      </w:r>
    </w:p>
    <w:p>
      <w:pPr>
        <w:pStyle w:val="ListBullet"/>
        <w:spacing w:after="60" w:line="252" w:lineRule="auto"/>
      </w:pPr>
      <w:r>
        <w:rPr>
          <w:sz w:val="21"/>
        </w:rPr>
        <w:t>Twelve automated DQ rules across Legal Entity Data and Sales Reporting domains.</w:t>
      </w:r>
    </w:p>
    <w:p>
      <w:pPr>
        <w:pStyle w:val="ListBullet"/>
        <w:spacing w:after="60" w:line="252" w:lineRule="auto"/>
      </w:pPr>
      <w:r>
        <w:rPr>
          <w:sz w:val="21"/>
        </w:rPr>
        <w:t>Power BI Data Quality, Sales Overview and Governed Sales Quality reporting.</w:t>
      </w:r>
    </w:p>
    <w:p>
      <w:pPr>
        <w:pStyle w:val="ListBullet"/>
        <w:spacing w:after="60" w:line="252" w:lineRule="auto"/>
      </w:pPr>
      <w:r>
        <w:rPr>
          <w:sz w:val="21"/>
        </w:rPr>
        <w:t>Requirements, glossary, mappings, lineage, ownership and remediation documentation.</w:t>
      </w:r>
    </w:p>
    <w:p>
      <w:pPr>
        <w:pStyle w:val="Heading2"/>
        <w:keepNext/>
        <w:spacing w:before="200" w:after="80"/>
      </w:pPr>
      <w:r>
        <w:t>4.2 Out of Scope</w:t>
      </w:r>
    </w:p>
    <w:p>
      <w:pPr>
        <w:pStyle w:val="ListBullet"/>
        <w:spacing w:after="60" w:line="252" w:lineRule="auto"/>
      </w:pPr>
      <w:r>
        <w:rPr>
          <w:sz w:val="21"/>
        </w:rPr>
        <w:t>Real banking customer or transaction data.</w:t>
      </w:r>
    </w:p>
    <w:p>
      <w:pPr>
        <w:pStyle w:val="ListBullet"/>
        <w:spacing w:after="60" w:line="252" w:lineRule="auto"/>
      </w:pPr>
      <w:r>
        <w:rPr>
          <w:sz w:val="21"/>
        </w:rPr>
        <w:t>Foreign-exchange conversion; all monetary values are stored in EUR.</w:t>
      </w:r>
    </w:p>
    <w:p>
      <w:pPr>
        <w:pStyle w:val="ListBullet"/>
        <w:spacing w:after="60" w:line="252" w:lineRule="auto"/>
      </w:pPr>
      <w:r>
        <w:rPr>
          <w:sz w:val="21"/>
        </w:rPr>
        <w:t>Real-time or streaming ingestion.</w:t>
      </w:r>
    </w:p>
    <w:p>
      <w:pPr>
        <w:pStyle w:val="ListBullet"/>
        <w:spacing w:after="60" w:line="252" w:lineRule="auto"/>
      </w:pPr>
      <w:r>
        <w:rPr>
          <w:sz w:val="21"/>
        </w:rPr>
        <w:t>Production-grade master data management workflow or manual merge approval interface.</w:t>
      </w:r>
    </w:p>
    <w:p>
      <w:pPr>
        <w:pStyle w:val="ListBullet"/>
        <w:spacing w:after="60" w:line="252" w:lineRule="auto"/>
      </w:pPr>
      <w:r>
        <w:rPr>
          <w:sz w:val="21"/>
        </w:rPr>
        <w:t>Automated source-system correction and ticketing integration.</w:t>
      </w:r>
    </w:p>
    <w:p>
      <w:pPr>
        <w:pStyle w:val="ListBullet"/>
        <w:spacing w:after="60" w:line="252" w:lineRule="auto"/>
      </w:pPr>
      <w:r>
        <w:rPr>
          <w:sz w:val="21"/>
        </w:rPr>
        <w:t>Regulatory submission generation.</w:t>
      </w:r>
    </w:p>
    <w:p>
      <w:pPr>
        <w:pStyle w:val="ListBullet"/>
        <w:spacing w:after="60" w:line="252" w:lineRule="auto"/>
      </w:pPr>
      <w:r>
        <w:rPr>
          <w:sz w:val="21"/>
        </w:rPr>
        <w:t>Production security architecture, network isolation and enterprise deployment controls.</w:t>
      </w:r>
    </w:p>
    <w:p>
      <w:pPr>
        <w:pStyle w:val="ListBullet"/>
        <w:spacing w:after="60" w:line="252" w:lineRule="auto"/>
      </w:pPr>
      <w:r>
        <w:rPr>
          <w:sz w:val="21"/>
        </w:rPr>
        <w:t>A full Microsoft Purview implementation; the project prepares Purview-ready governance artefacts and may later register the Fabric assets in Purview.</w:t>
      </w:r>
    </w:p>
    <w:p>
      <w:pPr>
        <w:pStyle w:val="Heading1"/>
        <w:keepNext/>
        <w:spacing w:before="200" w:after="80"/>
      </w:pPr>
      <w:r>
        <w:t>5. Stakeholders and Responsibilities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232"/>
            <w:shd w:fill="1F4E78"/>
            <w:vAlign w:val="center"/>
            <w:tcMar>
              <w:top w:w="70" w:type="dxa"/>
              <w:start w:w="90" w:type="dxa"/>
              <w:bottom w:w="70" w:type="dxa"/>
              <w:end w:w="90" w:type="dxa"/>
            </w:tcMar>
          </w:tcPr>
          <w:p>
            <w:pPr>
              <w:spacing w:after="0"/>
            </w:pPr>
            <w:r/>
            <w:r>
              <w:rPr>
                <w:rFonts w:ascii="Aptos" w:hAnsi="Aptos"/>
                <w:b/>
                <w:color w:val="FFFFFF"/>
                <w:sz w:val="17"/>
              </w:rPr>
              <w:t>Stakeholder</w:t>
            </w:r>
          </w:p>
        </w:tc>
        <w:tc>
          <w:tcPr>
            <w:tcW w:type="dxa" w:w="3528"/>
            <w:shd w:fill="1F4E78"/>
            <w:vAlign w:val="center"/>
            <w:tcMar>
              <w:top w:w="70" w:type="dxa"/>
              <w:start w:w="90" w:type="dxa"/>
              <w:bottom w:w="70" w:type="dxa"/>
              <w:end w:w="90" w:type="dxa"/>
            </w:tcMar>
          </w:tcPr>
          <w:p>
            <w:pPr>
              <w:spacing w:after="0"/>
            </w:pPr>
            <w:r/>
            <w:r>
              <w:rPr>
                <w:rFonts w:ascii="Aptos" w:hAnsi="Aptos"/>
                <w:b/>
                <w:color w:val="FFFFFF"/>
                <w:sz w:val="17"/>
              </w:rPr>
              <w:t>Primary interest</w:t>
            </w:r>
          </w:p>
        </w:tc>
        <w:tc>
          <w:tcPr>
            <w:tcW w:type="dxa" w:w="4608"/>
            <w:shd w:fill="1F4E78"/>
            <w:vAlign w:val="center"/>
            <w:tcMar>
              <w:top w:w="70" w:type="dxa"/>
              <w:start w:w="90" w:type="dxa"/>
              <w:bottom w:w="70" w:type="dxa"/>
              <w:end w:w="90" w:type="dxa"/>
            </w:tcMar>
          </w:tcPr>
          <w:p>
            <w:pPr>
              <w:spacing w:after="0"/>
            </w:pPr>
            <w:r/>
            <w:r>
              <w:rPr>
                <w:rFonts w:ascii="Aptos" w:hAnsi="Aptos"/>
                <w:b/>
                <w:color w:val="FFFFFF"/>
                <w:sz w:val="17"/>
              </w:rPr>
              <w:t>Key responsibility</w:t>
            </w:r>
          </w:p>
        </w:tc>
      </w:tr>
      <w:tr>
        <w:tc>
          <w:tcPr>
            <w:tcW w:type="dxa" w:w="2232"/>
            <w:vAlign w:val="top"/>
            <w:tcMar>
              <w:top w:w="70" w:type="dxa"/>
              <w:start w:w="90" w:type="dxa"/>
              <w:bottom w:w="70" w:type="dxa"/>
              <w:end w:w="90" w:type="dxa"/>
            </w:tcMar>
          </w:tcPr>
          <w:p>
            <w:pPr>
              <w:spacing w:after="0"/>
            </w:pPr>
            <w:r/>
            <w:r>
              <w:rPr>
                <w:rFonts w:ascii="Aptos" w:hAnsi="Aptos"/>
                <w:b w:val="0"/>
                <w:sz w:val="16"/>
              </w:rPr>
              <w:t>Legal Entity Data Owner</w:t>
            </w:r>
          </w:p>
        </w:tc>
        <w:tc>
          <w:tcPr>
            <w:tcW w:type="dxa" w:w="3528"/>
            <w:vAlign w:val="top"/>
            <w:tcMar>
              <w:top w:w="70" w:type="dxa"/>
              <w:start w:w="90" w:type="dxa"/>
              <w:bottom w:w="70" w:type="dxa"/>
              <w:end w:w="90" w:type="dxa"/>
            </w:tcMar>
          </w:tcPr>
          <w:p>
            <w:pPr>
              <w:spacing w:after="0"/>
            </w:pPr>
            <w:r/>
            <w:r>
              <w:rPr>
                <w:rFonts w:ascii="Aptos" w:hAnsi="Aptos"/>
                <w:b w:val="0"/>
                <w:sz w:val="16"/>
              </w:rPr>
              <w:t>Accuracy and regulatory fitness of legal entity data.</w:t>
            </w:r>
          </w:p>
        </w:tc>
        <w:tc>
          <w:tcPr>
            <w:tcW w:type="dxa" w:w="4608"/>
            <w:vAlign w:val="top"/>
            <w:tcMar>
              <w:top w:w="70" w:type="dxa"/>
              <w:start w:w="90" w:type="dxa"/>
              <w:bottom w:w="70" w:type="dxa"/>
              <w:end w:w="90" w:type="dxa"/>
            </w:tcMar>
          </w:tcPr>
          <w:p>
            <w:pPr>
              <w:spacing w:after="0"/>
            </w:pPr>
            <w:r/>
            <w:r>
              <w:rPr>
                <w:rFonts w:ascii="Aptos" w:hAnsi="Aptos"/>
                <w:b w:val="0"/>
                <w:sz w:val="16"/>
              </w:rPr>
              <w:t>Approve definitions, source authority, criticality and remediation priorities.</w:t>
            </w:r>
          </w:p>
        </w:tc>
      </w:tr>
      <w:tr>
        <w:tc>
          <w:tcPr>
            <w:tcW w:type="dxa" w:w="2232"/>
            <w:vAlign w:val="top"/>
            <w:tcMar>
              <w:top w:w="70" w:type="dxa"/>
              <w:start w:w="90" w:type="dxa"/>
              <w:bottom w:w="70" w:type="dxa"/>
              <w:end w:w="90" w:type="dxa"/>
            </w:tcMar>
          </w:tcPr>
          <w:p>
            <w:pPr>
              <w:spacing w:after="0"/>
            </w:pPr>
            <w:r/>
            <w:r>
              <w:rPr>
                <w:rFonts w:ascii="Aptos" w:hAnsi="Aptos"/>
                <w:b w:val="0"/>
                <w:sz w:val="16"/>
              </w:rPr>
              <w:t>Legal Entity Data Steward</w:t>
            </w:r>
          </w:p>
        </w:tc>
        <w:tc>
          <w:tcPr>
            <w:tcW w:type="dxa" w:w="3528"/>
            <w:vAlign w:val="top"/>
            <w:tcMar>
              <w:top w:w="70" w:type="dxa"/>
              <w:start w:w="90" w:type="dxa"/>
              <w:bottom w:w="70" w:type="dxa"/>
              <w:end w:w="90" w:type="dxa"/>
            </w:tcMar>
          </w:tcPr>
          <w:p>
            <w:pPr>
              <w:spacing w:after="0"/>
            </w:pPr>
            <w:r/>
            <w:r>
              <w:rPr>
                <w:rFonts w:ascii="Aptos" w:hAnsi="Aptos"/>
                <w:b w:val="0"/>
                <w:sz w:val="16"/>
              </w:rPr>
              <w:t>Day-to-day data quality and metadata management.</w:t>
            </w:r>
          </w:p>
        </w:tc>
        <w:tc>
          <w:tcPr>
            <w:tcW w:type="dxa" w:w="4608"/>
            <w:vAlign w:val="top"/>
            <w:tcMar>
              <w:top w:w="70" w:type="dxa"/>
              <w:start w:w="90" w:type="dxa"/>
              <w:bottom w:w="70" w:type="dxa"/>
              <w:end w:w="90" w:type="dxa"/>
            </w:tcMar>
          </w:tcPr>
          <w:p>
            <w:pPr>
              <w:spacing w:after="0"/>
            </w:pPr>
            <w:r/>
            <w:r>
              <w:rPr>
                <w:rFonts w:ascii="Aptos" w:hAnsi="Aptos"/>
                <w:b w:val="0"/>
                <w:sz w:val="16"/>
              </w:rPr>
              <w:t>Monitor DQ, investigate issues, maintain glossary and coordinate fixes.</w:t>
            </w:r>
          </w:p>
        </w:tc>
      </w:tr>
      <w:tr>
        <w:tc>
          <w:tcPr>
            <w:tcW w:type="dxa" w:w="2232"/>
            <w:vAlign w:val="top"/>
            <w:tcMar>
              <w:top w:w="70" w:type="dxa"/>
              <w:start w:w="90" w:type="dxa"/>
              <w:bottom w:w="70" w:type="dxa"/>
              <w:end w:w="90" w:type="dxa"/>
            </w:tcMar>
          </w:tcPr>
          <w:p>
            <w:pPr>
              <w:spacing w:after="0"/>
            </w:pPr>
            <w:r/>
            <w:r>
              <w:rPr>
                <w:rFonts w:ascii="Aptos" w:hAnsi="Aptos"/>
                <w:b w:val="0"/>
                <w:sz w:val="16"/>
              </w:rPr>
              <w:t>Sales Reporting Owner</w:t>
            </w:r>
          </w:p>
        </w:tc>
        <w:tc>
          <w:tcPr>
            <w:tcW w:type="dxa" w:w="3528"/>
            <w:vAlign w:val="top"/>
            <w:tcMar>
              <w:top w:w="70" w:type="dxa"/>
              <w:start w:w="90" w:type="dxa"/>
              <w:bottom w:w="70" w:type="dxa"/>
              <w:end w:w="90" w:type="dxa"/>
            </w:tcMar>
          </w:tcPr>
          <w:p>
            <w:pPr>
              <w:spacing w:after="0"/>
            </w:pPr>
            <w:r/>
            <w:r>
              <w:rPr>
                <w:rFonts w:ascii="Aptos" w:hAnsi="Aptos"/>
                <w:b w:val="0"/>
                <w:sz w:val="16"/>
              </w:rPr>
              <w:t>Consistent and reliable sales KPIs.</w:t>
            </w:r>
          </w:p>
        </w:tc>
        <w:tc>
          <w:tcPr>
            <w:tcW w:type="dxa" w:w="4608"/>
            <w:vAlign w:val="top"/>
            <w:tcMar>
              <w:top w:w="70" w:type="dxa"/>
              <w:start w:w="90" w:type="dxa"/>
              <w:bottom w:w="70" w:type="dxa"/>
              <w:end w:w="90" w:type="dxa"/>
            </w:tcMar>
          </w:tcPr>
          <w:p>
            <w:pPr>
              <w:spacing w:after="0"/>
            </w:pPr>
            <w:r/>
            <w:r>
              <w:rPr>
                <w:rFonts w:ascii="Aptos" w:hAnsi="Aptos"/>
                <w:b w:val="0"/>
                <w:sz w:val="16"/>
              </w:rPr>
              <w:t>Approve the governed sale definition, KPI logic and reporting period.</w:t>
            </w:r>
          </w:p>
        </w:tc>
      </w:tr>
      <w:tr>
        <w:tc>
          <w:tcPr>
            <w:tcW w:type="dxa" w:w="2232"/>
            <w:vAlign w:val="top"/>
            <w:tcMar>
              <w:top w:w="70" w:type="dxa"/>
              <w:start w:w="90" w:type="dxa"/>
              <w:bottom w:w="70" w:type="dxa"/>
              <w:end w:w="90" w:type="dxa"/>
            </w:tcMar>
          </w:tcPr>
          <w:p>
            <w:pPr>
              <w:spacing w:after="0"/>
            </w:pPr>
            <w:r/>
            <w:r>
              <w:rPr>
                <w:rFonts w:ascii="Aptos" w:hAnsi="Aptos"/>
                <w:b w:val="0"/>
                <w:sz w:val="16"/>
              </w:rPr>
              <w:t>Sales Management</w:t>
            </w:r>
          </w:p>
        </w:tc>
        <w:tc>
          <w:tcPr>
            <w:tcW w:type="dxa" w:w="3528"/>
            <w:vAlign w:val="top"/>
            <w:tcMar>
              <w:top w:w="70" w:type="dxa"/>
              <w:start w:w="90" w:type="dxa"/>
              <w:bottom w:w="70" w:type="dxa"/>
              <w:end w:w="90" w:type="dxa"/>
            </w:tcMar>
          </w:tcPr>
          <w:p>
            <w:pPr>
              <w:spacing w:after="0"/>
            </w:pPr>
            <w:r/>
            <w:r>
              <w:rPr>
                <w:rFonts w:ascii="Aptos" w:hAnsi="Aptos"/>
                <w:b w:val="0"/>
                <w:sz w:val="16"/>
              </w:rPr>
              <w:t>Business performance and target achievement.</w:t>
            </w:r>
          </w:p>
        </w:tc>
        <w:tc>
          <w:tcPr>
            <w:tcW w:type="dxa" w:w="4608"/>
            <w:vAlign w:val="top"/>
            <w:tcMar>
              <w:top w:w="70" w:type="dxa"/>
              <w:start w:w="90" w:type="dxa"/>
              <w:bottom w:w="70" w:type="dxa"/>
              <w:end w:w="90" w:type="dxa"/>
            </w:tcMar>
          </w:tcPr>
          <w:p>
            <w:pPr>
              <w:spacing w:after="0"/>
            </w:pPr>
            <w:r/>
            <w:r>
              <w:rPr>
                <w:rFonts w:ascii="Aptos" w:hAnsi="Aptos"/>
                <w:b w:val="0"/>
                <w:sz w:val="16"/>
              </w:rPr>
              <w:t>Use governed KPIs for decisions and challenge unexpected results.</w:t>
            </w:r>
          </w:p>
        </w:tc>
      </w:tr>
      <w:tr>
        <w:tc>
          <w:tcPr>
            <w:tcW w:type="dxa" w:w="2232"/>
            <w:vAlign w:val="top"/>
            <w:tcMar>
              <w:top w:w="70" w:type="dxa"/>
              <w:start w:w="90" w:type="dxa"/>
              <w:bottom w:w="70" w:type="dxa"/>
              <w:end w:w="90" w:type="dxa"/>
            </w:tcMar>
          </w:tcPr>
          <w:p>
            <w:pPr>
              <w:spacing w:after="0"/>
            </w:pPr>
            <w:r/>
            <w:r>
              <w:rPr>
                <w:rFonts w:ascii="Aptos" w:hAnsi="Aptos"/>
                <w:b w:val="0"/>
                <w:sz w:val="16"/>
              </w:rPr>
              <w:t>KYC / Compliance</w:t>
            </w:r>
          </w:p>
        </w:tc>
        <w:tc>
          <w:tcPr>
            <w:tcW w:type="dxa" w:w="3528"/>
            <w:vAlign w:val="top"/>
            <w:tcMar>
              <w:top w:w="70" w:type="dxa"/>
              <w:start w:w="90" w:type="dxa"/>
              <w:bottom w:w="70" w:type="dxa"/>
              <w:end w:w="90" w:type="dxa"/>
            </w:tcMar>
          </w:tcPr>
          <w:p>
            <w:pPr>
              <w:spacing w:after="0"/>
            </w:pPr>
            <w:r/>
            <w:r>
              <w:rPr>
                <w:rFonts w:ascii="Aptos" w:hAnsi="Aptos"/>
                <w:b w:val="0"/>
                <w:sz w:val="16"/>
              </w:rPr>
              <w:t>Reliable identity, status, risk and review information.</w:t>
            </w:r>
          </w:p>
        </w:tc>
        <w:tc>
          <w:tcPr>
            <w:tcW w:type="dxa" w:w="4608"/>
            <w:vAlign w:val="top"/>
            <w:tcMar>
              <w:top w:w="70" w:type="dxa"/>
              <w:start w:w="90" w:type="dxa"/>
              <w:bottom w:w="70" w:type="dxa"/>
              <w:end w:w="90" w:type="dxa"/>
            </w:tcMar>
          </w:tcPr>
          <w:p>
            <w:pPr>
              <w:spacing w:after="0"/>
            </w:pPr>
            <w:r/>
            <w:r>
              <w:rPr>
                <w:rFonts w:ascii="Aptos" w:hAnsi="Aptos"/>
                <w:b w:val="0"/>
                <w:sz w:val="16"/>
              </w:rPr>
              <w:t>Validate KYC-related attributes and business impact.</w:t>
            </w:r>
          </w:p>
        </w:tc>
      </w:tr>
      <w:tr>
        <w:tc>
          <w:tcPr>
            <w:tcW w:type="dxa" w:w="2232"/>
            <w:vAlign w:val="top"/>
            <w:tcMar>
              <w:top w:w="70" w:type="dxa"/>
              <w:start w:w="90" w:type="dxa"/>
              <w:bottom w:w="70" w:type="dxa"/>
              <w:end w:w="90" w:type="dxa"/>
            </w:tcMar>
          </w:tcPr>
          <w:p>
            <w:pPr>
              <w:spacing w:after="0"/>
            </w:pPr>
            <w:r/>
            <w:r>
              <w:rPr>
                <w:rFonts w:ascii="Aptos" w:hAnsi="Aptos"/>
                <w:b w:val="0"/>
                <w:sz w:val="16"/>
              </w:rPr>
              <w:t>Data Engineering</w:t>
            </w:r>
          </w:p>
        </w:tc>
        <w:tc>
          <w:tcPr>
            <w:tcW w:type="dxa" w:w="3528"/>
            <w:vAlign w:val="top"/>
            <w:tcMar>
              <w:top w:w="70" w:type="dxa"/>
              <w:start w:w="90" w:type="dxa"/>
              <w:bottom w:w="70" w:type="dxa"/>
              <w:end w:w="90" w:type="dxa"/>
            </w:tcMar>
          </w:tcPr>
          <w:p>
            <w:pPr>
              <w:spacing w:after="0"/>
            </w:pPr>
            <w:r/>
            <w:r>
              <w:rPr>
                <w:rFonts w:ascii="Aptos" w:hAnsi="Aptos"/>
                <w:b w:val="0"/>
                <w:sz w:val="16"/>
              </w:rPr>
              <w:t>Repeatable data processing and technical controls.</w:t>
            </w:r>
          </w:p>
        </w:tc>
        <w:tc>
          <w:tcPr>
            <w:tcW w:type="dxa" w:w="4608"/>
            <w:vAlign w:val="top"/>
            <w:tcMar>
              <w:top w:w="70" w:type="dxa"/>
              <w:start w:w="90" w:type="dxa"/>
              <w:bottom w:w="70" w:type="dxa"/>
              <w:end w:w="90" w:type="dxa"/>
            </w:tcMar>
          </w:tcPr>
          <w:p>
            <w:pPr>
              <w:spacing w:after="0"/>
            </w:pPr>
            <w:r/>
            <w:r>
              <w:rPr>
                <w:rFonts w:ascii="Aptos" w:hAnsi="Aptos"/>
                <w:b w:val="0"/>
                <w:sz w:val="16"/>
              </w:rPr>
              <w:t>Maintain Bronze–Silver–Gold transformations and orchestration.</w:t>
            </w:r>
          </w:p>
        </w:tc>
      </w:tr>
      <w:tr>
        <w:tc>
          <w:tcPr>
            <w:tcW w:type="dxa" w:w="2232"/>
            <w:vAlign w:val="top"/>
            <w:tcMar>
              <w:top w:w="70" w:type="dxa"/>
              <w:start w:w="90" w:type="dxa"/>
              <w:bottom w:w="70" w:type="dxa"/>
              <w:end w:w="90" w:type="dxa"/>
            </w:tcMar>
          </w:tcPr>
          <w:p>
            <w:pPr>
              <w:spacing w:after="0"/>
            </w:pPr>
            <w:r/>
            <w:r>
              <w:rPr>
                <w:rFonts w:ascii="Aptos" w:hAnsi="Aptos"/>
                <w:b w:val="0"/>
                <w:sz w:val="16"/>
              </w:rPr>
              <w:t>BI / Analytics</w:t>
            </w:r>
          </w:p>
        </w:tc>
        <w:tc>
          <w:tcPr>
            <w:tcW w:type="dxa" w:w="3528"/>
            <w:vAlign w:val="top"/>
            <w:tcMar>
              <w:top w:w="70" w:type="dxa"/>
              <w:start w:w="90" w:type="dxa"/>
              <w:bottom w:w="70" w:type="dxa"/>
              <w:end w:w="90" w:type="dxa"/>
            </w:tcMar>
          </w:tcPr>
          <w:p>
            <w:pPr>
              <w:spacing w:after="0"/>
            </w:pPr>
            <w:r/>
            <w:r>
              <w:rPr>
                <w:rFonts w:ascii="Aptos" w:hAnsi="Aptos"/>
                <w:b w:val="0"/>
                <w:sz w:val="16"/>
              </w:rPr>
              <w:t>Correct semantic calculations and usable reports.</w:t>
            </w:r>
          </w:p>
        </w:tc>
        <w:tc>
          <w:tcPr>
            <w:tcW w:type="dxa" w:w="4608"/>
            <w:vAlign w:val="top"/>
            <w:tcMar>
              <w:top w:w="70" w:type="dxa"/>
              <w:start w:w="90" w:type="dxa"/>
              <w:bottom w:w="70" w:type="dxa"/>
              <w:end w:w="90" w:type="dxa"/>
            </w:tcMar>
          </w:tcPr>
          <w:p>
            <w:pPr>
              <w:spacing w:after="0"/>
            </w:pPr>
            <w:r/>
            <w:r>
              <w:rPr>
                <w:rFonts w:ascii="Aptos" w:hAnsi="Aptos"/>
                <w:b w:val="0"/>
                <w:sz w:val="16"/>
              </w:rPr>
              <w:t>Build measures, visualisations, filters and reconciliation views.</w:t>
            </w:r>
          </w:p>
        </w:tc>
      </w:tr>
    </w:tbl>
    <w:p>
      <w:pPr>
        <w:spacing w:after="0"/>
      </w:pPr>
    </w:p>
    <w:p>
      <w:pPr>
        <w:pStyle w:val="Heading1"/>
        <w:keepNext/>
        <w:spacing w:before="200" w:after="80"/>
      </w:pPr>
      <w:r>
        <w:t>6. Business Requirements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shd w:fill="1F4E78"/>
            <w:vAlign w:val="center"/>
            <w:tcMar>
              <w:top w:w="70" w:type="dxa"/>
              <w:start w:w="90" w:type="dxa"/>
              <w:bottom w:w="70" w:type="dxa"/>
              <w:end w:w="90" w:type="dxa"/>
            </w:tcMar>
          </w:tcPr>
          <w:p>
            <w:pPr>
              <w:spacing w:after="0"/>
            </w:pPr>
            <w:r/>
            <w:r>
              <w:rPr>
                <w:rFonts w:ascii="Aptos" w:hAnsi="Aptos"/>
                <w:b/>
                <w:color w:val="FFFFFF"/>
                <w:sz w:val="17"/>
              </w:rPr>
              <w:t>ID</w:t>
            </w:r>
          </w:p>
        </w:tc>
        <w:tc>
          <w:tcPr>
            <w:tcW w:type="dxa" w:w="1512"/>
            <w:shd w:fill="1F4E78"/>
            <w:vAlign w:val="center"/>
            <w:tcMar>
              <w:top w:w="70" w:type="dxa"/>
              <w:start w:w="90" w:type="dxa"/>
              <w:bottom w:w="70" w:type="dxa"/>
              <w:end w:w="90" w:type="dxa"/>
            </w:tcMar>
          </w:tcPr>
          <w:p>
            <w:pPr>
              <w:spacing w:after="0"/>
            </w:pPr>
            <w:r/>
            <w:r>
              <w:rPr>
                <w:rFonts w:ascii="Aptos" w:hAnsi="Aptos"/>
                <w:b/>
                <w:color w:val="FFFFFF"/>
                <w:sz w:val="17"/>
              </w:rPr>
              <w:t>Domain</w:t>
            </w:r>
          </w:p>
        </w:tc>
        <w:tc>
          <w:tcPr>
            <w:tcW w:type="dxa" w:w="7200"/>
            <w:shd w:fill="1F4E78"/>
            <w:vAlign w:val="center"/>
            <w:tcMar>
              <w:top w:w="70" w:type="dxa"/>
              <w:start w:w="90" w:type="dxa"/>
              <w:bottom w:w="70" w:type="dxa"/>
              <w:end w:w="90" w:type="dxa"/>
            </w:tcMar>
          </w:tcPr>
          <w:p>
            <w:pPr>
              <w:spacing w:after="0"/>
            </w:pPr>
            <w:r/>
            <w:r>
              <w:rPr>
                <w:rFonts w:ascii="Aptos" w:hAnsi="Aptos"/>
                <w:b/>
                <w:color w:val="FFFFFF"/>
                <w:sz w:val="17"/>
              </w:rPr>
              <w:t>Requirement</w:t>
            </w:r>
          </w:p>
        </w:tc>
        <w:tc>
          <w:tcPr>
            <w:tcW w:type="dxa" w:w="1008"/>
            <w:shd w:fill="1F4E78"/>
            <w:vAlign w:val="center"/>
            <w:tcMar>
              <w:top w:w="70" w:type="dxa"/>
              <w:start w:w="90" w:type="dxa"/>
              <w:bottom w:w="70" w:type="dxa"/>
              <w:end w:w="90" w:type="dxa"/>
            </w:tcMar>
          </w:tcPr>
          <w:p>
            <w:pPr>
              <w:spacing w:after="0"/>
            </w:pPr>
            <w:r/>
            <w:r>
              <w:rPr>
                <w:rFonts w:ascii="Aptos" w:hAnsi="Aptos"/>
                <w:b/>
                <w:color w:val="FFFFFF"/>
                <w:sz w:val="17"/>
              </w:rPr>
              <w:t>Priority</w:t>
            </w:r>
          </w:p>
        </w:tc>
      </w:tr>
      <w:tr>
        <w:tc>
          <w:tcPr>
            <w:tcW w:type="dxa" w:w="1152"/>
            <w:vAlign w:val="top"/>
            <w:tcMar>
              <w:top w:w="70" w:type="dxa"/>
              <w:start w:w="90" w:type="dxa"/>
              <w:bottom w:w="70" w:type="dxa"/>
              <w:end w:w="90" w:type="dxa"/>
            </w:tcMar>
          </w:tcPr>
          <w:p>
            <w:pPr>
              <w:spacing w:after="0"/>
            </w:pPr>
            <w:r/>
            <w:r>
              <w:rPr>
                <w:rFonts w:ascii="Aptos" w:hAnsi="Aptos"/>
                <w:b w:val="0"/>
                <w:sz w:val="16"/>
              </w:rPr>
              <w:t>BR-001</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The solution shall create one trusted Golden Record for every valid legal entity available in the authoritative registry source.</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BR-002</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The national registry code shall be used as the primary match key between Registry, CRM and KYC data.</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BR-003</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Records without a registry code shall not be automatically matched to a Golden Record and shall be reported as DQ issues.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BR-004</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Registry data shall be authoritative for legal identity, official name, country, legal status, incorporation date, closure date and parent entity.</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BR-005</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CRM shall be authoritative for customer segment, relationship manager and CRM relationship status.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BR-006</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KYC shall be authoritative for KYC status, risk level, LEI and last review date.</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BR-007</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Where multiple CRM records exist for one registry code, a deterministic survivorship rule shall select one record.</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BR-008</w:t>
            </w:r>
          </w:p>
        </w:tc>
        <w:tc>
          <w:tcPr>
            <w:tcW w:type="dxa" w:w="1512"/>
            <w:vAlign w:val="top"/>
            <w:tcMar>
              <w:top w:w="70" w:type="dxa"/>
              <w:start w:w="90" w:type="dxa"/>
              <w:bottom w:w="70" w:type="dxa"/>
              <w:end w:w="90" w:type="dxa"/>
            </w:tcMar>
          </w:tcPr>
          <w:p>
            <w:pPr>
              <w:spacing w:after="0"/>
            </w:pPr>
            <w:r/>
            <w:r>
              <w:rPr>
                <w:rFonts w:ascii="Aptos" w:hAnsi="Aptos"/>
                <w:b w:val="0"/>
                <w:sz w:val="16"/>
              </w:rPr>
              <w:t>Legal Entity</w:t>
            </w:r>
          </w:p>
        </w:tc>
        <w:tc>
          <w:tcPr>
            <w:tcW w:type="dxa" w:w="7200"/>
            <w:vAlign w:val="top"/>
            <w:tcMar>
              <w:top w:w="70" w:type="dxa"/>
              <w:start w:w="90" w:type="dxa"/>
              <w:bottom w:w="70" w:type="dxa"/>
              <w:end w:w="90" w:type="dxa"/>
            </w:tcMar>
          </w:tcPr>
          <w:p>
            <w:pPr>
              <w:spacing w:after="0"/>
            </w:pPr>
            <w:r/>
            <w:r>
              <w:rPr>
                <w:rFonts w:ascii="Aptos" w:hAnsi="Aptos"/>
                <w:b w:val="0"/>
                <w:sz w:val="16"/>
              </w:rPr>
              <w:t>Invalid country codes and other critical legal identity failures shall prevent a record from being promoted to the trusted Gold dataset.</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BR-009</w:t>
            </w:r>
          </w:p>
        </w:tc>
        <w:tc>
          <w:tcPr>
            <w:tcW w:type="dxa" w:w="1512"/>
            <w:vAlign w:val="top"/>
            <w:tcMar>
              <w:top w:w="70" w:type="dxa"/>
              <w:start w:w="90" w:type="dxa"/>
              <w:bottom w:w="70" w:type="dxa"/>
              <w:end w:w="90" w:type="dxa"/>
            </w:tcMar>
          </w:tcPr>
          <w:p>
            <w:pPr>
              <w:spacing w:after="0"/>
            </w:pPr>
            <w:r/>
            <w:r>
              <w:rPr>
                <w:rFonts w:ascii="Aptos" w:hAnsi="Aptos"/>
                <w:b w:val="0"/>
                <w:sz w:val="16"/>
              </w:rPr>
              <w:t>Sales</w:t>
            </w:r>
          </w:p>
        </w:tc>
        <w:tc>
          <w:tcPr>
            <w:tcW w:type="dxa" w:w="7200"/>
            <w:vAlign w:val="top"/>
            <w:tcMar>
              <w:top w:w="70" w:type="dxa"/>
              <w:start w:w="90" w:type="dxa"/>
              <w:bottom w:w="70" w:type="dxa"/>
              <w:end w:w="90" w:type="dxa"/>
            </w:tcMar>
          </w:tcPr>
          <w:p>
            <w:pPr>
              <w:spacing w:after="0"/>
            </w:pPr>
            <w:r/>
            <w:r>
              <w:rPr>
                <w:rFonts w:ascii="Aptos" w:hAnsi="Aptos"/>
                <w:b w:val="0"/>
                <w:sz w:val="16"/>
              </w:rPr>
              <w:t>A banking product contract shall be counted as a governed sale only when it is Active, has an activation date and belongs to the approved product list.</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BR-010</w:t>
            </w:r>
          </w:p>
        </w:tc>
        <w:tc>
          <w:tcPr>
            <w:tcW w:type="dxa" w:w="1512"/>
            <w:vAlign w:val="top"/>
            <w:tcMar>
              <w:top w:w="70" w:type="dxa"/>
              <w:start w:w="90" w:type="dxa"/>
              <w:bottom w:w="70" w:type="dxa"/>
              <w:end w:w="90" w:type="dxa"/>
            </w:tcMar>
          </w:tcPr>
          <w:p>
            <w:pPr>
              <w:spacing w:after="0"/>
            </w:pPr>
            <w:r/>
            <w:r>
              <w:rPr>
                <w:rFonts w:ascii="Aptos" w:hAnsi="Aptos"/>
                <w:b w:val="0"/>
                <w:sz w:val="16"/>
              </w:rPr>
              <w:t>Sales</w:t>
            </w:r>
          </w:p>
        </w:tc>
        <w:tc>
          <w:tcPr>
            <w:tcW w:type="dxa" w:w="7200"/>
            <w:vAlign w:val="top"/>
            <w:tcMar>
              <w:top w:w="70" w:type="dxa"/>
              <w:start w:w="90" w:type="dxa"/>
              <w:bottom w:w="70" w:type="dxa"/>
              <w:end w:w="90" w:type="dxa"/>
            </w:tcMar>
          </w:tcPr>
          <w:p>
            <w:pPr>
              <w:spacing w:after="0"/>
            </w:pPr>
            <w:r/>
            <w:r>
              <w:rPr>
                <w:rFonts w:ascii="Aptos" w:hAnsi="Aptos"/>
                <w:b w:val="0"/>
                <w:sz w:val="16"/>
              </w:rPr>
              <w:t>Duplicate contract IDs shall be detected in the Silver layer and removed before Gold-level reporting.</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BR-011</w:t>
            </w:r>
          </w:p>
        </w:tc>
        <w:tc>
          <w:tcPr>
            <w:tcW w:type="dxa" w:w="1512"/>
            <w:vAlign w:val="top"/>
            <w:tcMar>
              <w:top w:w="70" w:type="dxa"/>
              <w:start w:w="90" w:type="dxa"/>
              <w:bottom w:w="70" w:type="dxa"/>
              <w:end w:w="90" w:type="dxa"/>
            </w:tcMar>
          </w:tcPr>
          <w:p>
            <w:pPr>
              <w:spacing w:after="0"/>
            </w:pPr>
            <w:r/>
            <w:r>
              <w:rPr>
                <w:rFonts w:ascii="Aptos" w:hAnsi="Aptos"/>
                <w:b w:val="0"/>
                <w:sz w:val="16"/>
              </w:rPr>
              <w:t>Sales</w:t>
            </w:r>
          </w:p>
        </w:tc>
        <w:tc>
          <w:tcPr>
            <w:tcW w:type="dxa" w:w="7200"/>
            <w:vAlign w:val="top"/>
            <w:tcMar>
              <w:top w:w="70" w:type="dxa"/>
              <w:start w:w="90" w:type="dxa"/>
              <w:bottom w:w="70" w:type="dxa"/>
              <w:end w:w="90" w:type="dxa"/>
            </w:tcMar>
          </w:tcPr>
          <w:p>
            <w:pPr>
              <w:spacing w:after="0"/>
            </w:pPr>
            <w:r/>
            <w:r>
              <w:rPr>
                <w:rFonts w:ascii="Aptos" w:hAnsi="Aptos"/>
                <w:b w:val="0"/>
                <w:sz w:val="16"/>
              </w:rPr>
              <w:t>Cancelled, rejected and pending contracts shall not be counted as governed sales.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BR-012</w:t>
            </w:r>
          </w:p>
        </w:tc>
        <w:tc>
          <w:tcPr>
            <w:tcW w:type="dxa" w:w="1512"/>
            <w:vAlign w:val="top"/>
            <w:tcMar>
              <w:top w:w="70" w:type="dxa"/>
              <w:start w:w="90" w:type="dxa"/>
              <w:bottom w:w="70" w:type="dxa"/>
              <w:end w:w="90" w:type="dxa"/>
            </w:tcMar>
          </w:tcPr>
          <w:p>
            <w:pPr>
              <w:spacing w:after="0"/>
            </w:pPr>
            <w:r/>
            <w:r>
              <w:rPr>
                <w:rFonts w:ascii="Aptos" w:hAnsi="Aptos"/>
                <w:b w:val="0"/>
                <w:sz w:val="16"/>
              </w:rPr>
              <w:t>Sales</w:t>
            </w:r>
          </w:p>
        </w:tc>
        <w:tc>
          <w:tcPr>
            <w:tcW w:type="dxa" w:w="7200"/>
            <w:vAlign w:val="top"/>
            <w:tcMar>
              <w:top w:w="70" w:type="dxa"/>
              <w:start w:w="90" w:type="dxa"/>
              <w:bottom w:w="70" w:type="dxa"/>
              <w:end w:w="90" w:type="dxa"/>
            </w:tcMar>
          </w:tcPr>
          <w:p>
            <w:pPr>
              <w:spacing w:after="0"/>
            </w:pPr>
            <w:r/>
            <w:r>
              <w:rPr>
                <w:rFonts w:ascii="Aptos" w:hAnsi="Aptos"/>
                <w:b w:val="0"/>
                <w:sz w:val="16"/>
              </w:rPr>
              <w:t>Active contracts without an activation date shall be excluded from governed sales KPIs and reported as DQ issues.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BR-013</w:t>
            </w:r>
          </w:p>
        </w:tc>
        <w:tc>
          <w:tcPr>
            <w:tcW w:type="dxa" w:w="1512"/>
            <w:vAlign w:val="top"/>
            <w:tcMar>
              <w:top w:w="70" w:type="dxa"/>
              <w:start w:w="90" w:type="dxa"/>
              <w:bottom w:w="70" w:type="dxa"/>
              <w:end w:w="90" w:type="dxa"/>
            </w:tcMar>
          </w:tcPr>
          <w:p>
            <w:pPr>
              <w:spacing w:after="0"/>
            </w:pPr>
            <w:r/>
            <w:r>
              <w:rPr>
                <w:rFonts w:ascii="Aptos" w:hAnsi="Aptos"/>
                <w:b w:val="0"/>
                <w:sz w:val="16"/>
              </w:rPr>
              <w:t>Sales</w:t>
            </w:r>
          </w:p>
        </w:tc>
        <w:tc>
          <w:tcPr>
            <w:tcW w:type="dxa" w:w="7200"/>
            <w:vAlign w:val="top"/>
            <w:tcMar>
              <w:top w:w="70" w:type="dxa"/>
              <w:start w:w="90" w:type="dxa"/>
              <w:bottom w:w="70" w:type="dxa"/>
              <w:end w:w="90" w:type="dxa"/>
            </w:tcMar>
          </w:tcPr>
          <w:p>
            <w:pPr>
              <w:spacing w:after="0"/>
            </w:pPr>
            <w:r/>
            <w:r>
              <w:rPr>
                <w:rFonts w:ascii="Aptos" w:hAnsi="Aptos"/>
                <w:b w:val="0"/>
                <w:sz w:val="16"/>
              </w:rPr>
              <w:t>Products outside the approved product taxonomy shall be excluded from governed sales KPIs and reported as DQ issues.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BR-014</w:t>
            </w:r>
          </w:p>
        </w:tc>
        <w:tc>
          <w:tcPr>
            <w:tcW w:type="dxa" w:w="1512"/>
            <w:vAlign w:val="top"/>
            <w:tcMar>
              <w:top w:w="70" w:type="dxa"/>
              <w:start w:w="90" w:type="dxa"/>
              <w:bottom w:w="70" w:type="dxa"/>
              <w:end w:w="90" w:type="dxa"/>
            </w:tcMar>
          </w:tcPr>
          <w:p>
            <w:pPr>
              <w:spacing w:after="0"/>
            </w:pPr>
            <w:r/>
            <w:r>
              <w:rPr>
                <w:rFonts w:ascii="Aptos" w:hAnsi="Aptos"/>
                <w:b w:val="0"/>
                <w:sz w:val="16"/>
              </w:rPr>
              <w:t>Reporting</w:t>
            </w:r>
          </w:p>
        </w:tc>
        <w:tc>
          <w:tcPr>
            <w:tcW w:type="dxa" w:w="7200"/>
            <w:vAlign w:val="top"/>
            <w:tcMar>
              <w:top w:w="70" w:type="dxa"/>
              <w:start w:w="90" w:type="dxa"/>
              <w:bottom w:w="70" w:type="dxa"/>
              <w:end w:w="90" w:type="dxa"/>
            </w:tcMar>
          </w:tcPr>
          <w:p>
            <w:pPr>
              <w:spacing w:after="0"/>
            </w:pPr>
            <w:r/>
            <w:r>
              <w:rPr>
                <w:rFonts w:ascii="Aptos" w:hAnsi="Aptos"/>
                <w:b w:val="0"/>
                <w:sz w:val="16"/>
              </w:rPr>
              <w:t>The solution shall provide monthly actual sales and target values by product and sales channel.</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BR-015</w:t>
            </w:r>
          </w:p>
        </w:tc>
        <w:tc>
          <w:tcPr>
            <w:tcW w:type="dxa" w:w="1512"/>
            <w:vAlign w:val="top"/>
            <w:tcMar>
              <w:top w:w="70" w:type="dxa"/>
              <w:start w:w="90" w:type="dxa"/>
              <w:bottom w:w="70" w:type="dxa"/>
              <w:end w:w="90" w:type="dxa"/>
            </w:tcMar>
          </w:tcPr>
          <w:p>
            <w:pPr>
              <w:spacing w:after="0"/>
            </w:pPr>
            <w:r/>
            <w:r>
              <w:rPr>
                <w:rFonts w:ascii="Aptos" w:hAnsi="Aptos"/>
                <w:b w:val="0"/>
                <w:sz w:val="16"/>
              </w:rPr>
              <w:t>Reporting</w:t>
            </w:r>
          </w:p>
        </w:tc>
        <w:tc>
          <w:tcPr>
            <w:tcW w:type="dxa" w:w="7200"/>
            <w:vAlign w:val="top"/>
            <w:tcMar>
              <w:top w:w="70" w:type="dxa"/>
              <w:start w:w="90" w:type="dxa"/>
              <w:bottom w:w="70" w:type="dxa"/>
              <w:end w:w="90" w:type="dxa"/>
            </w:tcMar>
          </w:tcPr>
          <w:p>
            <w:pPr>
              <w:spacing w:after="0"/>
            </w:pPr>
            <w:r/>
            <w:r>
              <w:rPr>
                <w:rFonts w:ascii="Aptos" w:hAnsi="Aptos"/>
                <w:b w:val="0"/>
                <w:sz w:val="16"/>
              </w:rPr>
              <w:t>DQ reporting shall show failed and passed rules, affected-record counts, severity, domain, DQ dimension and execution date.</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BR-016</w:t>
            </w:r>
          </w:p>
        </w:tc>
        <w:tc>
          <w:tcPr>
            <w:tcW w:type="dxa" w:w="1512"/>
            <w:vAlign w:val="top"/>
            <w:tcMar>
              <w:top w:w="70" w:type="dxa"/>
              <w:start w:w="90" w:type="dxa"/>
              <w:bottom w:w="70" w:type="dxa"/>
              <w:end w:w="90" w:type="dxa"/>
            </w:tcMar>
          </w:tcPr>
          <w:p>
            <w:pPr>
              <w:spacing w:after="0"/>
            </w:pPr>
            <w:r/>
            <w:r>
              <w:rPr>
                <w:rFonts w:ascii="Aptos" w:hAnsi="Aptos"/>
                <w:b w:val="0"/>
                <w:sz w:val="16"/>
              </w:rPr>
              <w:t>Reporting</w:t>
            </w:r>
          </w:p>
        </w:tc>
        <w:tc>
          <w:tcPr>
            <w:tcW w:type="dxa" w:w="7200"/>
            <w:vAlign w:val="top"/>
            <w:tcMar>
              <w:top w:w="70" w:type="dxa"/>
              <w:start w:w="90" w:type="dxa"/>
              <w:bottom w:w="70" w:type="dxa"/>
              <w:end w:w="90" w:type="dxa"/>
            </w:tcMar>
          </w:tcPr>
          <w:p>
            <w:pPr>
              <w:spacing w:after="0"/>
            </w:pPr>
            <w:r/>
            <w:r>
              <w:rPr>
                <w:rFonts w:ascii="Aptos" w:hAnsi="Aptos"/>
                <w:b w:val="0"/>
                <w:sz w:val="16"/>
              </w:rPr>
              <w:t>The governed-sales-quality report shall distinguish governed contracts from contracts excluded from KPI calculation.</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BR-017</w:t>
            </w:r>
          </w:p>
        </w:tc>
        <w:tc>
          <w:tcPr>
            <w:tcW w:type="dxa" w:w="1512"/>
            <w:vAlign w:val="top"/>
            <w:tcMar>
              <w:top w:w="70" w:type="dxa"/>
              <w:start w:w="90" w:type="dxa"/>
              <w:bottom w:w="70" w:type="dxa"/>
              <w:end w:w="90" w:type="dxa"/>
            </w:tcMar>
          </w:tcPr>
          <w:p>
            <w:pPr>
              <w:spacing w:after="0"/>
            </w:pPr>
            <w:r/>
            <w:r>
              <w:rPr>
                <w:rFonts w:ascii="Aptos" w:hAnsi="Aptos"/>
                <w:b w:val="0"/>
                <w:sz w:val="16"/>
              </w:rPr>
              <w:t>Governance</w:t>
            </w:r>
          </w:p>
        </w:tc>
        <w:tc>
          <w:tcPr>
            <w:tcW w:type="dxa" w:w="7200"/>
            <w:vAlign w:val="top"/>
            <w:tcMar>
              <w:top w:w="70" w:type="dxa"/>
              <w:start w:w="90" w:type="dxa"/>
              <w:bottom w:w="70" w:type="dxa"/>
              <w:end w:w="90" w:type="dxa"/>
            </w:tcMar>
          </w:tcPr>
          <w:p>
            <w:pPr>
              <w:spacing w:after="0"/>
            </w:pPr>
            <w:r/>
            <w:r>
              <w:rPr>
                <w:rFonts w:ascii="Aptos" w:hAnsi="Aptos"/>
                <w:b w:val="0"/>
                <w:sz w:val="16"/>
              </w:rPr>
              <w:t>Each DQ rule shall have an identifier, domain, data asset, business description, DQ dimension, severity and result.</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BR-018</w:t>
            </w:r>
          </w:p>
        </w:tc>
        <w:tc>
          <w:tcPr>
            <w:tcW w:type="dxa" w:w="1512"/>
            <w:vAlign w:val="top"/>
            <w:tcMar>
              <w:top w:w="70" w:type="dxa"/>
              <w:start w:w="90" w:type="dxa"/>
              <w:bottom w:w="70" w:type="dxa"/>
              <w:end w:w="90" w:type="dxa"/>
            </w:tcMar>
          </w:tcPr>
          <w:p>
            <w:pPr>
              <w:spacing w:after="0"/>
            </w:pPr>
            <w:r/>
            <w:r>
              <w:rPr>
                <w:rFonts w:ascii="Aptos" w:hAnsi="Aptos"/>
                <w:b w:val="0"/>
                <w:sz w:val="16"/>
              </w:rPr>
              <w:t>Governance</w:t>
            </w:r>
          </w:p>
        </w:tc>
        <w:tc>
          <w:tcPr>
            <w:tcW w:type="dxa" w:w="7200"/>
            <w:vAlign w:val="top"/>
            <w:tcMar>
              <w:top w:w="70" w:type="dxa"/>
              <w:start w:w="90" w:type="dxa"/>
              <w:bottom w:w="70" w:type="dxa"/>
              <w:end w:w="90" w:type="dxa"/>
            </w:tcMar>
          </w:tcPr>
          <w:p>
            <w:pPr>
              <w:spacing w:after="0"/>
            </w:pPr>
            <w:r/>
            <w:r>
              <w:rPr>
                <w:rFonts w:ascii="Aptos" w:hAnsi="Aptos"/>
                <w:b w:val="0"/>
                <w:sz w:val="16"/>
              </w:rPr>
              <w:t>The solution shall support traceability from source files through Bronze, Silver and Gold assets to Power BI outputs.</w:t>
            </w:r>
          </w:p>
        </w:tc>
        <w:tc>
          <w:tcPr>
            <w:tcW w:type="dxa" w:w="1008"/>
            <w:vAlign w:val="top"/>
            <w:tcMar>
              <w:top w:w="70" w:type="dxa"/>
              <w:start w:w="90" w:type="dxa"/>
              <w:bottom w:w="70" w:type="dxa"/>
              <w:end w:w="90" w:type="dxa"/>
            </w:tcMar>
          </w:tcPr>
          <w:p>
            <w:pPr>
              <w:spacing w:after="0"/>
            </w:pPr>
            <w:r/>
            <w:r>
              <w:rPr>
                <w:rFonts w:ascii="Aptos" w:hAnsi="Aptos"/>
                <w:b w:val="0"/>
                <w:sz w:val="16"/>
              </w:rPr>
              <w:t>Must</w:t>
            </w:r>
          </w:p>
        </w:tc>
      </w:tr>
      <w:tr>
        <w:tc>
          <w:tcPr>
            <w:tcW w:type="dxa" w:w="1152"/>
            <w:vAlign w:val="top"/>
            <w:tcMar>
              <w:top w:w="70" w:type="dxa"/>
              <w:start w:w="90" w:type="dxa"/>
              <w:bottom w:w="70" w:type="dxa"/>
              <w:end w:w="90" w:type="dxa"/>
            </w:tcMar>
          </w:tcPr>
          <w:p>
            <w:pPr>
              <w:spacing w:after="0"/>
            </w:pPr>
            <w:r/>
            <w:r>
              <w:rPr>
                <w:rFonts w:ascii="Aptos" w:hAnsi="Aptos"/>
                <w:b w:val="0"/>
                <w:sz w:val="16"/>
              </w:rPr>
              <w:t>BR-019</w:t>
            </w:r>
          </w:p>
        </w:tc>
        <w:tc>
          <w:tcPr>
            <w:tcW w:type="dxa" w:w="1512"/>
            <w:vAlign w:val="top"/>
            <w:tcMar>
              <w:top w:w="70" w:type="dxa"/>
              <w:start w:w="90" w:type="dxa"/>
              <w:bottom w:w="70" w:type="dxa"/>
              <w:end w:w="90" w:type="dxa"/>
            </w:tcMar>
          </w:tcPr>
          <w:p>
            <w:pPr>
              <w:spacing w:after="0"/>
            </w:pPr>
            <w:r/>
            <w:r>
              <w:rPr>
                <w:rFonts w:ascii="Aptos" w:hAnsi="Aptos"/>
                <w:b w:val="0"/>
                <w:sz w:val="16"/>
              </w:rPr>
              <w:t>Governance</w:t>
            </w:r>
          </w:p>
        </w:tc>
        <w:tc>
          <w:tcPr>
            <w:tcW w:type="dxa" w:w="7200"/>
            <w:vAlign w:val="top"/>
            <w:tcMar>
              <w:top w:w="70" w:type="dxa"/>
              <w:start w:w="90" w:type="dxa"/>
              <w:bottom w:w="70" w:type="dxa"/>
              <w:end w:w="90" w:type="dxa"/>
            </w:tcMar>
          </w:tcPr>
          <w:p>
            <w:pPr>
              <w:spacing w:after="0"/>
            </w:pPr>
            <w:r/>
            <w:r>
              <w:rPr>
                <w:rFonts w:ascii="Aptos" w:hAnsi="Aptos"/>
                <w:b w:val="0"/>
                <w:sz w:val="16"/>
              </w:rPr>
              <w:t>The process shall be repeatable through an orchestrated pipeline with dependency-on-success between stages.</w:t>
            </w:r>
          </w:p>
        </w:tc>
        <w:tc>
          <w:tcPr>
            <w:tcW w:type="dxa" w:w="1008"/>
            <w:vAlign w:val="top"/>
            <w:tcMar>
              <w:top w:w="70" w:type="dxa"/>
              <w:start w:w="90" w:type="dxa"/>
              <w:bottom w:w="70" w:type="dxa"/>
              <w:end w:w="90" w:type="dxa"/>
            </w:tcMar>
          </w:tcPr>
          <w:p>
            <w:pPr>
              <w:spacing w:after="0"/>
            </w:pPr>
            <w:r/>
            <w:r>
              <w:rPr>
                <w:rFonts w:ascii="Aptos" w:hAnsi="Aptos"/>
                <w:b w:val="0"/>
                <w:sz w:val="16"/>
              </w:rPr>
              <w:t>Should</w:t>
            </w:r>
          </w:p>
        </w:tc>
      </w:tr>
      <w:tr>
        <w:tc>
          <w:tcPr>
            <w:tcW w:type="dxa" w:w="1152"/>
            <w:vAlign w:val="top"/>
            <w:tcMar>
              <w:top w:w="70" w:type="dxa"/>
              <w:start w:w="90" w:type="dxa"/>
              <w:bottom w:w="70" w:type="dxa"/>
              <w:end w:w="90" w:type="dxa"/>
            </w:tcMar>
          </w:tcPr>
          <w:p>
            <w:pPr>
              <w:spacing w:after="0"/>
            </w:pPr>
            <w:r/>
            <w:r>
              <w:rPr>
                <w:rFonts w:ascii="Aptos" w:hAnsi="Aptos"/>
                <w:b w:val="0"/>
                <w:sz w:val="16"/>
              </w:rPr>
              <w:t>BR-020</w:t>
            </w:r>
          </w:p>
        </w:tc>
        <w:tc>
          <w:tcPr>
            <w:tcW w:type="dxa" w:w="1512"/>
            <w:vAlign w:val="top"/>
            <w:tcMar>
              <w:top w:w="70" w:type="dxa"/>
              <w:start w:w="90" w:type="dxa"/>
              <w:bottom w:w="70" w:type="dxa"/>
              <w:end w:w="90" w:type="dxa"/>
            </w:tcMar>
          </w:tcPr>
          <w:p>
            <w:pPr>
              <w:spacing w:after="0"/>
            </w:pPr>
            <w:r/>
            <w:r>
              <w:rPr>
                <w:rFonts w:ascii="Aptos" w:hAnsi="Aptos"/>
                <w:b w:val="0"/>
                <w:sz w:val="16"/>
              </w:rPr>
              <w:t>Governance</w:t>
            </w:r>
          </w:p>
        </w:tc>
        <w:tc>
          <w:tcPr>
            <w:tcW w:type="dxa" w:w="7200"/>
            <w:vAlign w:val="top"/>
            <w:tcMar>
              <w:top w:w="70" w:type="dxa"/>
              <w:start w:w="90" w:type="dxa"/>
              <w:bottom w:w="70" w:type="dxa"/>
              <w:end w:w="90" w:type="dxa"/>
            </w:tcMar>
          </w:tcPr>
          <w:p>
            <w:pPr>
              <w:spacing w:after="0"/>
            </w:pPr>
            <w:r/>
            <w:r>
              <w:rPr>
                <w:rFonts w:ascii="Aptos" w:hAnsi="Aptos"/>
                <w:b w:val="0"/>
                <w:sz w:val="16"/>
              </w:rPr>
              <w:t>Governance definitions shall be documented in a form suitable for later registration in Microsoft Purview.</w:t>
            </w:r>
          </w:p>
        </w:tc>
        <w:tc>
          <w:tcPr>
            <w:tcW w:type="dxa" w:w="1008"/>
            <w:vAlign w:val="top"/>
            <w:tcMar>
              <w:top w:w="70" w:type="dxa"/>
              <w:start w:w="90" w:type="dxa"/>
              <w:bottom w:w="70" w:type="dxa"/>
              <w:end w:w="90" w:type="dxa"/>
            </w:tcMar>
          </w:tcPr>
          <w:p>
            <w:pPr>
              <w:spacing w:after="0"/>
            </w:pPr>
            <w:r/>
            <w:r>
              <w:rPr>
                <w:rFonts w:ascii="Aptos" w:hAnsi="Aptos"/>
                <w:b w:val="0"/>
                <w:sz w:val="16"/>
              </w:rPr>
              <w:t>Should</w:t>
            </w:r>
          </w:p>
        </w:tc>
      </w:tr>
    </w:tbl>
    <w:p>
      <w:pPr>
        <w:spacing w:after="0"/>
      </w:pPr>
    </w:p>
    <w:p>
      <w:pPr>
        <w:pStyle w:val="Heading1"/>
        <w:keepNext/>
        <w:spacing w:before="200" w:after="80"/>
      </w:pPr>
      <w:r>
        <w:t>7. Core Business Rules</w:t>
      </w:r>
    </w:p>
    <w:p>
      <w:pPr>
        <w:pStyle w:val="Heading2"/>
        <w:keepNext/>
        <w:spacing w:before="200" w:after="80"/>
      </w:pPr>
      <w:r>
        <w:t>7.1 Golden Legal Entity Record</w:t>
      </w:r>
    </w:p>
    <w:p>
      <w:pPr>
        <w:spacing w:after="120" w:line="259" w:lineRule="auto"/>
      </w:pPr>
      <w:r>
        <w:rPr>
          <w:sz w:val="21"/>
        </w:rPr>
        <w:t>A Golden Record is created only for an entity that exists in the Registry source, has a non-null registry code and has an accepted Baltic country code (EE, LV or LT). Registry, CRM and KYC records are linked using registry_code.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Target attribute</w:t>
            </w:r>
          </w:p>
        </w:tc>
        <w:tc>
          <w:tcPr>
            <w:tcW w:type="dxa" w:w="2160"/>
            <w:shd w:fill="1F4E78"/>
            <w:vAlign w:val="center"/>
            <w:tcMar>
              <w:top w:w="70" w:type="dxa"/>
              <w:start w:w="90" w:type="dxa"/>
              <w:bottom w:w="70" w:type="dxa"/>
              <w:end w:w="90" w:type="dxa"/>
            </w:tcMar>
          </w:tcPr>
          <w:p>
            <w:pPr>
              <w:spacing w:after="0"/>
            </w:pPr>
            <w:r/>
            <w:r>
              <w:rPr>
                <w:rFonts w:ascii="Aptos" w:hAnsi="Aptos"/>
                <w:b/>
                <w:color w:val="FFFFFF"/>
                <w:sz w:val="17"/>
              </w:rPr>
              <w:t>Authoritative source</w:t>
            </w:r>
          </w:p>
        </w:tc>
        <w:tc>
          <w:tcPr>
            <w:tcW w:type="dxa" w:w="5472"/>
            <w:shd w:fill="1F4E78"/>
            <w:vAlign w:val="center"/>
            <w:tcMar>
              <w:top w:w="70" w:type="dxa"/>
              <w:start w:w="90" w:type="dxa"/>
              <w:bottom w:w="70" w:type="dxa"/>
              <w:end w:w="90" w:type="dxa"/>
            </w:tcMar>
          </w:tcPr>
          <w:p>
            <w:pPr>
              <w:spacing w:after="0"/>
            </w:pPr>
            <w:r/>
            <w:r>
              <w:rPr>
                <w:rFonts w:ascii="Aptos" w:hAnsi="Aptos"/>
                <w:b/>
                <w:color w:val="FFFFFF"/>
                <w:sz w:val="17"/>
              </w:rPr>
              <w:t>Rule</w:t>
            </w:r>
          </w:p>
        </w:tc>
      </w:tr>
      <w:tr>
        <w:tc>
          <w:tcPr>
            <w:tcW w:type="dxa" w:w="2880"/>
            <w:vAlign w:val="top"/>
            <w:tcMar>
              <w:top w:w="70" w:type="dxa"/>
              <w:start w:w="90" w:type="dxa"/>
              <w:bottom w:w="70" w:type="dxa"/>
              <w:end w:w="90" w:type="dxa"/>
            </w:tcMar>
          </w:tcPr>
          <w:p>
            <w:pPr>
              <w:spacing w:after="0"/>
            </w:pPr>
            <w:r/>
            <w:r>
              <w:rPr>
                <w:rFonts w:ascii="Aptos" w:hAnsi="Aptos"/>
                <w:b w:val="0"/>
                <w:sz w:val="16"/>
              </w:rPr>
              <w:t>registry_code</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Primary business match key and legal identifier.</w:t>
            </w:r>
          </w:p>
        </w:tc>
      </w:tr>
      <w:tr>
        <w:tc>
          <w:tcPr>
            <w:tcW w:type="dxa" w:w="2880"/>
            <w:vAlign w:val="top"/>
            <w:tcMar>
              <w:top w:w="70" w:type="dxa"/>
              <w:start w:w="90" w:type="dxa"/>
              <w:bottom w:w="70" w:type="dxa"/>
              <w:end w:w="90" w:type="dxa"/>
            </w:tcMar>
          </w:tcPr>
          <w:p>
            <w:pPr>
              <w:spacing w:after="0"/>
            </w:pPr>
            <w:r/>
            <w:r>
              <w:rPr>
                <w:rFonts w:ascii="Aptos" w:hAnsi="Aptos"/>
                <w:b w:val="0"/>
                <w:sz w:val="16"/>
              </w:rPr>
              <w:t>official_name</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Use the official registered legal name.</w:t>
            </w:r>
          </w:p>
        </w:tc>
      </w:tr>
      <w:tr>
        <w:tc>
          <w:tcPr>
            <w:tcW w:type="dxa" w:w="2880"/>
            <w:vAlign w:val="top"/>
            <w:tcMar>
              <w:top w:w="70" w:type="dxa"/>
              <w:start w:w="90" w:type="dxa"/>
              <w:bottom w:w="70" w:type="dxa"/>
              <w:end w:w="90" w:type="dxa"/>
            </w:tcMar>
          </w:tcPr>
          <w:p>
            <w:pPr>
              <w:spacing w:after="0"/>
            </w:pPr>
            <w:r/>
            <w:r>
              <w:rPr>
                <w:rFonts w:ascii="Aptos" w:hAnsi="Aptos"/>
                <w:b w:val="0"/>
                <w:sz w:val="16"/>
              </w:rPr>
              <w:t>country_code</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Must be EE, LV or LT for promotion to Gold.</w:t>
            </w:r>
          </w:p>
        </w:tc>
      </w:tr>
      <w:tr>
        <w:tc>
          <w:tcPr>
            <w:tcW w:type="dxa" w:w="2880"/>
            <w:vAlign w:val="top"/>
            <w:tcMar>
              <w:top w:w="70" w:type="dxa"/>
              <w:start w:w="90" w:type="dxa"/>
              <w:bottom w:w="70" w:type="dxa"/>
              <w:end w:w="90" w:type="dxa"/>
            </w:tcMar>
          </w:tcPr>
          <w:p>
            <w:pPr>
              <w:spacing w:after="0"/>
            </w:pPr>
            <w:r/>
            <w:r>
              <w:rPr>
                <w:rFonts w:ascii="Aptos" w:hAnsi="Aptos"/>
                <w:b w:val="0"/>
                <w:sz w:val="16"/>
              </w:rPr>
              <w:t>legal_status</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Use registry status as legal truth.</w:t>
            </w:r>
          </w:p>
        </w:tc>
      </w:tr>
      <w:tr>
        <w:tc>
          <w:tcPr>
            <w:tcW w:type="dxa" w:w="2880"/>
            <w:vAlign w:val="top"/>
            <w:tcMar>
              <w:top w:w="70" w:type="dxa"/>
              <w:start w:w="90" w:type="dxa"/>
              <w:bottom w:w="70" w:type="dxa"/>
              <w:end w:w="90" w:type="dxa"/>
            </w:tcMar>
          </w:tcPr>
          <w:p>
            <w:pPr>
              <w:spacing w:after="0"/>
            </w:pPr>
            <w:r/>
            <w:r>
              <w:rPr>
                <w:rFonts w:ascii="Aptos" w:hAnsi="Aptos"/>
                <w:b w:val="0"/>
                <w:sz w:val="16"/>
              </w:rPr>
              <w:t>incorporation_date / closure_date</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Use official legal lifecycle dates.</w:t>
            </w:r>
          </w:p>
        </w:tc>
      </w:tr>
      <w:tr>
        <w:tc>
          <w:tcPr>
            <w:tcW w:type="dxa" w:w="2880"/>
            <w:vAlign w:val="top"/>
            <w:tcMar>
              <w:top w:w="70" w:type="dxa"/>
              <w:start w:w="90" w:type="dxa"/>
              <w:bottom w:w="70" w:type="dxa"/>
              <w:end w:w="90" w:type="dxa"/>
            </w:tcMar>
          </w:tcPr>
          <w:p>
            <w:pPr>
              <w:spacing w:after="0"/>
            </w:pPr>
            <w:r/>
            <w:r>
              <w:rPr>
                <w:rFonts w:ascii="Aptos" w:hAnsi="Aptos"/>
                <w:b w:val="0"/>
                <w:sz w:val="16"/>
              </w:rPr>
              <w:t>parent_registry_code</w:t>
            </w:r>
          </w:p>
        </w:tc>
        <w:tc>
          <w:tcPr>
            <w:tcW w:type="dxa" w:w="2160"/>
            <w:vAlign w:val="top"/>
            <w:tcMar>
              <w:top w:w="70" w:type="dxa"/>
              <w:start w:w="90" w:type="dxa"/>
              <w:bottom w:w="70" w:type="dxa"/>
              <w:end w:w="90" w:type="dxa"/>
            </w:tcMar>
          </w:tcPr>
          <w:p>
            <w:pPr>
              <w:spacing w:after="0"/>
            </w:pPr>
            <w:r/>
            <w:r>
              <w:rPr>
                <w:rFonts w:ascii="Aptos" w:hAnsi="Aptos"/>
                <w:b w:val="0"/>
                <w:sz w:val="16"/>
              </w:rPr>
              <w:t>Registry</w:t>
            </w:r>
          </w:p>
        </w:tc>
        <w:tc>
          <w:tcPr>
            <w:tcW w:type="dxa" w:w="5472"/>
            <w:vAlign w:val="top"/>
            <w:tcMar>
              <w:top w:w="70" w:type="dxa"/>
              <w:start w:w="90" w:type="dxa"/>
              <w:bottom w:w="70" w:type="dxa"/>
              <w:end w:w="90" w:type="dxa"/>
            </w:tcMar>
          </w:tcPr>
          <w:p>
            <w:pPr>
              <w:spacing w:after="0"/>
            </w:pPr>
            <w:r/>
            <w:r>
              <w:rPr>
                <w:rFonts w:ascii="Aptos" w:hAnsi="Aptos"/>
                <w:b w:val="0"/>
                <w:sz w:val="16"/>
              </w:rPr>
              <w:t>Use registry corporate hierarchy relationship.</w:t>
            </w:r>
          </w:p>
        </w:tc>
      </w:tr>
      <w:tr>
        <w:tc>
          <w:tcPr>
            <w:tcW w:type="dxa" w:w="2880"/>
            <w:vAlign w:val="top"/>
            <w:tcMar>
              <w:top w:w="70" w:type="dxa"/>
              <w:start w:w="90" w:type="dxa"/>
              <w:bottom w:w="70" w:type="dxa"/>
              <w:end w:w="90" w:type="dxa"/>
            </w:tcMar>
          </w:tcPr>
          <w:p>
            <w:pPr>
              <w:spacing w:after="0"/>
            </w:pPr>
            <w:r/>
            <w:r>
              <w:rPr>
                <w:rFonts w:ascii="Aptos" w:hAnsi="Aptos"/>
                <w:b w:val="0"/>
                <w:sz w:val="16"/>
              </w:rPr>
              <w:t>customer_segment</w:t>
            </w:r>
          </w:p>
        </w:tc>
        <w:tc>
          <w:tcPr>
            <w:tcW w:type="dxa" w:w="2160"/>
            <w:vAlign w:val="top"/>
            <w:tcMar>
              <w:top w:w="70" w:type="dxa"/>
              <w:start w:w="90" w:type="dxa"/>
              <w:bottom w:w="70" w:type="dxa"/>
              <w:end w:w="90" w:type="dxa"/>
            </w:tcMar>
          </w:tcPr>
          <w:p>
            <w:pPr>
              <w:spacing w:after="0"/>
            </w:pPr>
            <w:r/>
            <w:r>
              <w:rPr>
                <w:rFonts w:ascii="Aptos" w:hAnsi="Aptos"/>
                <w:b w:val="0"/>
                <w:sz w:val="16"/>
              </w:rPr>
              <w:t>CRM</w:t>
            </w:r>
          </w:p>
        </w:tc>
        <w:tc>
          <w:tcPr>
            <w:tcW w:type="dxa" w:w="5472"/>
            <w:vAlign w:val="top"/>
            <w:tcMar>
              <w:top w:w="70" w:type="dxa"/>
              <w:start w:w="90" w:type="dxa"/>
              <w:bottom w:w="70" w:type="dxa"/>
              <w:end w:w="90" w:type="dxa"/>
            </w:tcMar>
          </w:tcPr>
          <w:p>
            <w:pPr>
              <w:spacing w:after="0"/>
            </w:pPr>
            <w:r/>
            <w:r>
              <w:rPr>
                <w:rFonts w:ascii="Aptos" w:hAnsi="Aptos"/>
                <w:b w:val="0"/>
                <w:sz w:val="16"/>
              </w:rPr>
              <w:t>Use the surviving CRM relationship record.</w:t>
            </w:r>
          </w:p>
        </w:tc>
      </w:tr>
      <w:tr>
        <w:tc>
          <w:tcPr>
            <w:tcW w:type="dxa" w:w="2880"/>
            <w:vAlign w:val="top"/>
            <w:tcMar>
              <w:top w:w="70" w:type="dxa"/>
              <w:start w:w="90" w:type="dxa"/>
              <w:bottom w:w="70" w:type="dxa"/>
              <w:end w:w="90" w:type="dxa"/>
            </w:tcMar>
          </w:tcPr>
          <w:p>
            <w:pPr>
              <w:spacing w:after="0"/>
            </w:pPr>
            <w:r/>
            <w:r>
              <w:rPr>
                <w:rFonts w:ascii="Aptos" w:hAnsi="Aptos"/>
                <w:b w:val="0"/>
                <w:sz w:val="16"/>
              </w:rPr>
              <w:t>relationship_manager</w:t>
            </w:r>
          </w:p>
        </w:tc>
        <w:tc>
          <w:tcPr>
            <w:tcW w:type="dxa" w:w="2160"/>
            <w:vAlign w:val="top"/>
            <w:tcMar>
              <w:top w:w="70" w:type="dxa"/>
              <w:start w:w="90" w:type="dxa"/>
              <w:bottom w:w="70" w:type="dxa"/>
              <w:end w:w="90" w:type="dxa"/>
            </w:tcMar>
          </w:tcPr>
          <w:p>
            <w:pPr>
              <w:spacing w:after="0"/>
            </w:pPr>
            <w:r/>
            <w:r>
              <w:rPr>
                <w:rFonts w:ascii="Aptos" w:hAnsi="Aptos"/>
                <w:b w:val="0"/>
                <w:sz w:val="16"/>
              </w:rPr>
              <w:t>CRM</w:t>
            </w:r>
          </w:p>
        </w:tc>
        <w:tc>
          <w:tcPr>
            <w:tcW w:type="dxa" w:w="5472"/>
            <w:vAlign w:val="top"/>
            <w:tcMar>
              <w:top w:w="70" w:type="dxa"/>
              <w:start w:w="90" w:type="dxa"/>
              <w:bottom w:w="70" w:type="dxa"/>
              <w:end w:w="90" w:type="dxa"/>
            </w:tcMar>
          </w:tcPr>
          <w:p>
            <w:pPr>
              <w:spacing w:after="0"/>
            </w:pPr>
            <w:r/>
            <w:r>
              <w:rPr>
                <w:rFonts w:ascii="Aptos" w:hAnsi="Aptos"/>
                <w:b w:val="0"/>
                <w:sz w:val="16"/>
              </w:rPr>
              <w:t>Use the surviving CRM relationship record.</w:t>
            </w:r>
          </w:p>
        </w:tc>
      </w:tr>
      <w:tr>
        <w:tc>
          <w:tcPr>
            <w:tcW w:type="dxa" w:w="2880"/>
            <w:vAlign w:val="top"/>
            <w:tcMar>
              <w:top w:w="70" w:type="dxa"/>
              <w:start w:w="90" w:type="dxa"/>
              <w:bottom w:w="70" w:type="dxa"/>
              <w:end w:w="90" w:type="dxa"/>
            </w:tcMar>
          </w:tcPr>
          <w:p>
            <w:pPr>
              <w:spacing w:after="0"/>
            </w:pPr>
            <w:r/>
            <w:r>
              <w:rPr>
                <w:rFonts w:ascii="Aptos" w:hAnsi="Aptos"/>
                <w:b w:val="0"/>
                <w:sz w:val="16"/>
              </w:rPr>
              <w:t>crm_status</w:t>
            </w:r>
          </w:p>
        </w:tc>
        <w:tc>
          <w:tcPr>
            <w:tcW w:type="dxa" w:w="2160"/>
            <w:vAlign w:val="top"/>
            <w:tcMar>
              <w:top w:w="70" w:type="dxa"/>
              <w:start w:w="90" w:type="dxa"/>
              <w:bottom w:w="70" w:type="dxa"/>
              <w:end w:w="90" w:type="dxa"/>
            </w:tcMar>
          </w:tcPr>
          <w:p>
            <w:pPr>
              <w:spacing w:after="0"/>
            </w:pPr>
            <w:r/>
            <w:r>
              <w:rPr>
                <w:rFonts w:ascii="Aptos" w:hAnsi="Aptos"/>
                <w:b w:val="0"/>
                <w:sz w:val="16"/>
              </w:rPr>
              <w:t>CRM</w:t>
            </w:r>
          </w:p>
        </w:tc>
        <w:tc>
          <w:tcPr>
            <w:tcW w:type="dxa" w:w="5472"/>
            <w:vAlign w:val="top"/>
            <w:tcMar>
              <w:top w:w="70" w:type="dxa"/>
              <w:start w:w="90" w:type="dxa"/>
              <w:bottom w:w="70" w:type="dxa"/>
              <w:end w:w="90" w:type="dxa"/>
            </w:tcMar>
          </w:tcPr>
          <w:p>
            <w:pPr>
              <w:spacing w:after="0"/>
            </w:pPr>
            <w:r/>
            <w:r>
              <w:rPr>
                <w:rFonts w:ascii="Aptos" w:hAnsi="Aptos"/>
                <w:b w:val="0"/>
                <w:sz w:val="16"/>
              </w:rPr>
              <w:t>Use the surviving CRM relationship record.</w:t>
            </w:r>
          </w:p>
        </w:tc>
      </w:tr>
      <w:tr>
        <w:tc>
          <w:tcPr>
            <w:tcW w:type="dxa" w:w="2880"/>
            <w:vAlign w:val="top"/>
            <w:tcMar>
              <w:top w:w="70" w:type="dxa"/>
              <w:start w:w="90" w:type="dxa"/>
              <w:bottom w:w="70" w:type="dxa"/>
              <w:end w:w="90" w:type="dxa"/>
            </w:tcMar>
          </w:tcPr>
          <w:p>
            <w:pPr>
              <w:spacing w:after="0"/>
            </w:pPr>
            <w:r/>
            <w:r>
              <w:rPr>
                <w:rFonts w:ascii="Aptos" w:hAnsi="Aptos"/>
                <w:b w:val="0"/>
                <w:sz w:val="16"/>
              </w:rPr>
              <w:t>kyc_status / risk_level / LEI / last_review_date</w:t>
            </w:r>
          </w:p>
        </w:tc>
        <w:tc>
          <w:tcPr>
            <w:tcW w:type="dxa" w:w="2160"/>
            <w:vAlign w:val="top"/>
            <w:tcMar>
              <w:top w:w="70" w:type="dxa"/>
              <w:start w:w="90" w:type="dxa"/>
              <w:bottom w:w="70" w:type="dxa"/>
              <w:end w:w="90" w:type="dxa"/>
            </w:tcMar>
          </w:tcPr>
          <w:p>
            <w:pPr>
              <w:spacing w:after="0"/>
            </w:pPr>
            <w:r/>
            <w:r>
              <w:rPr>
                <w:rFonts w:ascii="Aptos" w:hAnsi="Aptos"/>
                <w:b w:val="0"/>
                <w:sz w:val="16"/>
              </w:rPr>
              <w:t>KYC</w:t>
            </w:r>
          </w:p>
        </w:tc>
        <w:tc>
          <w:tcPr>
            <w:tcW w:type="dxa" w:w="5472"/>
            <w:vAlign w:val="top"/>
            <w:tcMar>
              <w:top w:w="70" w:type="dxa"/>
              <w:start w:w="90" w:type="dxa"/>
              <w:bottom w:w="70" w:type="dxa"/>
              <w:end w:w="90" w:type="dxa"/>
            </w:tcMar>
          </w:tcPr>
          <w:p>
            <w:pPr>
              <w:spacing w:after="0"/>
            </w:pPr>
            <w:r/>
            <w:r>
              <w:rPr>
                <w:rFonts w:ascii="Aptos" w:hAnsi="Aptos"/>
                <w:b w:val="0"/>
                <w:sz w:val="16"/>
              </w:rPr>
              <w:t>Use the surviving KYC record.</w:t>
            </w:r>
          </w:p>
        </w:tc>
      </w:tr>
    </w:tbl>
    <w:p>
      <w:pPr>
        <w:spacing w:after="0"/>
      </w:pPr>
    </w:p>
    <w:p>
      <w:pPr>
        <w:pStyle w:val="Heading2"/>
        <w:keepNext/>
        <w:spacing w:before="200" w:after="80"/>
      </w:pPr>
      <w:r>
        <w:t>7.2 CRM Survivorship Rule</w:t>
      </w:r>
    </w:p>
    <w:p>
      <w:pPr>
        <w:pStyle w:val="ListNumber"/>
        <w:spacing w:after="60"/>
      </w:pPr>
      <w:r>
        <w:rPr>
          <w:sz w:val="21"/>
        </w:rPr>
        <w:t>Exclude CRM rows whose registry_code is null from automatic matching.</w:t>
      </w:r>
    </w:p>
    <w:p>
      <w:pPr>
        <w:pStyle w:val="ListNumber"/>
        <w:spacing w:after="60"/>
      </w:pPr>
      <w:r>
        <w:rPr>
          <w:sz w:val="21"/>
        </w:rPr>
        <w:t>Group remaining CRM rows by registry_code.</w:t>
      </w:r>
    </w:p>
    <w:p>
      <w:pPr>
        <w:pStyle w:val="ListNumber"/>
        <w:spacing w:after="60"/>
      </w:pPr>
      <w:r>
        <w:rPr>
          <w:sz w:val="21"/>
        </w:rPr>
        <w:t>Prefer a CRM record with crm_status = Active.</w:t>
      </w:r>
    </w:p>
    <w:p>
      <w:pPr>
        <w:pStyle w:val="ListNumber"/>
        <w:spacing w:after="60"/>
      </w:pPr>
      <w:r>
        <w:rPr>
          <w:sz w:val="21"/>
        </w:rPr>
        <w:t>Then prefer the newest created_date.</w:t>
      </w:r>
    </w:p>
    <w:p>
      <w:pPr>
        <w:pStyle w:val="ListNumber"/>
        <w:spacing w:after="60"/>
      </w:pPr>
      <w:r>
        <w:rPr>
          <w:sz w:val="21"/>
        </w:rPr>
        <w:t>If a tie remains, choose the smallest crm_entity_id to ensure deterministic processing.</w:t>
      </w:r>
    </w:p>
    <w:p>
      <w:pPr>
        <w:pStyle w:val="Heading2"/>
        <w:keepNext/>
        <w:spacing w:before="200" w:after="80"/>
      </w:pPr>
      <w:r>
        <w:t>7.3 KYC Survivorship Rule</w:t>
      </w:r>
    </w:p>
    <w:p>
      <w:pPr>
        <w:pStyle w:val="ListNumber"/>
        <w:spacing w:after="60"/>
      </w:pPr>
      <w:r>
        <w:rPr>
          <w:sz w:val="21"/>
        </w:rPr>
        <w:t>Exclude KYC rows whose registry_code is null from automatic matching.</w:t>
      </w:r>
    </w:p>
    <w:p>
      <w:pPr>
        <w:pStyle w:val="ListNumber"/>
        <w:spacing w:after="60"/>
      </w:pPr>
      <w:r>
        <w:rPr>
          <w:sz w:val="21"/>
        </w:rPr>
        <w:t>Group remaining KYC rows by registry_code.</w:t>
      </w:r>
    </w:p>
    <w:p>
      <w:pPr>
        <w:pStyle w:val="ListNumber"/>
        <w:spacing w:after="60"/>
      </w:pPr>
      <w:r>
        <w:rPr>
          <w:sz w:val="21"/>
        </w:rPr>
        <w:t>Prefer a KYC record with kyc_status = Approved.</w:t>
      </w:r>
    </w:p>
    <w:p>
      <w:pPr>
        <w:pStyle w:val="ListNumber"/>
        <w:spacing w:after="60"/>
      </w:pPr>
      <w:r>
        <w:rPr>
          <w:sz w:val="21"/>
        </w:rPr>
        <w:t>Then prefer the latest last_review_date.</w:t>
      </w:r>
    </w:p>
    <w:p>
      <w:pPr>
        <w:pStyle w:val="ListNumber"/>
        <w:spacing w:after="60"/>
      </w:pPr>
      <w:r>
        <w:rPr>
          <w:sz w:val="21"/>
        </w:rPr>
        <w:t>If a tie remains, choose the smallest kyc_entity_id.</w:t>
      </w:r>
    </w:p>
    <w:p>
      <w:pPr>
        <w:pStyle w:val="Heading2"/>
        <w:keepNext/>
        <w:spacing w:before="200" w:after="80"/>
      </w:pPr>
      <w:r>
        <w:t>7.4 Governed Sale Definition</w:t>
      </w:r>
    </w:p>
    <w:p>
      <w:pPr>
        <w:spacing w:after="120" w:line="259" w:lineRule="auto"/>
      </w:pPr>
      <w:r>
        <w:rPr>
          <w:sz w:val="21"/>
        </w:rPr>
        <w:t>A contract is classified as is_governed_sale = TRUE only when all of the following conditions are met:</w:t>
      </w:r>
    </w:p>
    <w:p>
      <w:pPr>
        <w:pStyle w:val="ListBullet"/>
        <w:spacing w:after="60" w:line="252" w:lineRule="auto"/>
      </w:pPr>
      <w:r>
        <w:rPr>
          <w:sz w:val="21"/>
        </w:rPr>
        <w:t>contract_status equals Active;</w:t>
      </w:r>
    </w:p>
    <w:p>
      <w:pPr>
        <w:pStyle w:val="ListBullet"/>
        <w:spacing w:after="60" w:line="252" w:lineRule="auto"/>
      </w:pPr>
      <w:r>
        <w:rPr>
          <w:sz w:val="21"/>
        </w:rPr>
        <w:t>activation_date is not null;</w:t>
      </w:r>
    </w:p>
    <w:p>
      <w:pPr>
        <w:pStyle w:val="ListBullet"/>
        <w:spacing w:after="60" w:line="252" w:lineRule="auto"/>
      </w:pPr>
      <w:r>
        <w:rPr>
          <w:sz w:val="21"/>
        </w:rPr>
        <w:t>product_type belongs to the approved product list;</w:t>
      </w:r>
    </w:p>
    <w:p>
      <w:pPr>
        <w:pStyle w:val="ListBullet"/>
        <w:spacing w:after="60" w:line="252" w:lineRule="auto"/>
      </w:pPr>
      <w:r>
        <w:rPr>
          <w:sz w:val="21"/>
        </w:rPr>
        <w:t>the contract is the single surviving row for its contract_id after deduplication.</w:t>
      </w:r>
    </w:p>
    <w:p>
      <w:pPr>
        <w:spacing w:after="120" w:line="259" w:lineRule="auto"/>
      </w:pPr>
      <w:r>
        <w:rPr>
          <w:sz w:val="21"/>
        </w:rPr>
        <w:t>Contracts that do not satisfy the definition remain available in the Gold fact table for reconciliation and quality analysis, but they do not contribute to governed monthly sales KPIs.</w:t>
      </w:r>
    </w:p>
    <w:p>
      <w:pPr>
        <w:spacing w:after="120" w:line="259" w:lineRule="auto"/>
      </w:pPr>
      <w:r>
        <w:rPr>
          <w:sz w:val="21"/>
        </w:rPr>
        <w:t>Approved products: Consumer Loan, Mortgage, Credit Card, Current Account, Savings Account, Term Deposit, Investment Product and Business Loan.</w:t>
      </w:r>
    </w:p>
    <w:p>
      <w:pPr>
        <w:pStyle w:val="Heading1"/>
        <w:keepNext/>
        <w:spacing w:before="200" w:after="80"/>
      </w:pPr>
      <w:r>
        <w:t>8. Data Quality Requirements</w:t>
      </w:r>
    </w:p>
    <w:p>
      <w:pPr>
        <w:spacing w:after="120" w:line="259" w:lineRule="auto"/>
      </w:pPr>
      <w:r>
        <w:rPr>
          <w:sz w:val="21"/>
        </w:rPr>
        <w:t>The project implements 12 DQ rules. failed_record_count represents the number of records violating a rule, while rule_status shows whether the rule passed or failed. Counts from different rules may overlap if the same record violates multiple conditions; therefore, Total Failed Records is an issue-observation count, not necessarily a distinct-record count.</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1080"/>
            <w:shd w:fill="1F4E78"/>
            <w:vAlign w:val="center"/>
            <w:tcMar>
              <w:top w:w="70" w:type="dxa"/>
              <w:start w:w="90" w:type="dxa"/>
              <w:bottom w:w="70" w:type="dxa"/>
              <w:end w:w="90" w:type="dxa"/>
            </w:tcMar>
          </w:tcPr>
          <w:p>
            <w:pPr>
              <w:spacing w:after="0"/>
            </w:pPr>
            <w:r/>
            <w:r>
              <w:rPr>
                <w:rFonts w:ascii="Aptos" w:hAnsi="Aptos"/>
                <w:b/>
                <w:color w:val="FFFFFF"/>
                <w:sz w:val="17"/>
              </w:rPr>
              <w:t>Rule ID</w:t>
            </w:r>
          </w:p>
        </w:tc>
        <w:tc>
          <w:tcPr>
            <w:tcW w:type="dxa" w:w="1296"/>
            <w:shd w:fill="1F4E78"/>
            <w:vAlign w:val="center"/>
            <w:tcMar>
              <w:top w:w="70" w:type="dxa"/>
              <w:start w:w="90" w:type="dxa"/>
              <w:bottom w:w="70" w:type="dxa"/>
              <w:end w:w="90" w:type="dxa"/>
            </w:tcMar>
          </w:tcPr>
          <w:p>
            <w:pPr>
              <w:spacing w:after="0"/>
            </w:pPr>
            <w:r/>
            <w:r>
              <w:rPr>
                <w:rFonts w:ascii="Aptos" w:hAnsi="Aptos"/>
                <w:b/>
                <w:color w:val="FFFFFF"/>
                <w:sz w:val="17"/>
              </w:rPr>
              <w:t>Domain</w:t>
            </w:r>
          </w:p>
        </w:tc>
        <w:tc>
          <w:tcPr>
            <w:tcW w:type="dxa" w:w="1872"/>
            <w:shd w:fill="1F4E78"/>
            <w:vAlign w:val="center"/>
            <w:tcMar>
              <w:top w:w="70" w:type="dxa"/>
              <w:start w:w="90" w:type="dxa"/>
              <w:bottom w:w="70" w:type="dxa"/>
              <w:end w:w="90" w:type="dxa"/>
            </w:tcMar>
          </w:tcPr>
          <w:p>
            <w:pPr>
              <w:spacing w:after="0"/>
            </w:pPr>
            <w:r/>
            <w:r>
              <w:rPr>
                <w:rFonts w:ascii="Aptos" w:hAnsi="Aptos"/>
                <w:b/>
                <w:color w:val="FFFFFF"/>
                <w:sz w:val="17"/>
              </w:rPr>
              <w:t>Asset</w:t>
            </w:r>
          </w:p>
        </w:tc>
        <w:tc>
          <w:tcPr>
            <w:tcW w:type="dxa" w:w="2232"/>
            <w:shd w:fill="1F4E78"/>
            <w:vAlign w:val="center"/>
            <w:tcMar>
              <w:top w:w="70" w:type="dxa"/>
              <w:start w:w="90" w:type="dxa"/>
              <w:bottom w:w="70" w:type="dxa"/>
              <w:end w:w="90" w:type="dxa"/>
            </w:tcMar>
          </w:tcPr>
          <w:p>
            <w:pPr>
              <w:spacing w:after="0"/>
            </w:pPr>
            <w:r/>
            <w:r>
              <w:rPr>
                <w:rFonts w:ascii="Aptos" w:hAnsi="Aptos"/>
                <w:b/>
                <w:color w:val="FFFFFF"/>
                <w:sz w:val="17"/>
              </w:rPr>
              <w:t>Business rule</w:t>
            </w:r>
          </w:p>
        </w:tc>
        <w:tc>
          <w:tcPr>
            <w:tcW w:type="dxa" w:w="2232"/>
            <w:shd w:fill="1F4E78"/>
            <w:vAlign w:val="center"/>
            <w:tcMar>
              <w:top w:w="70" w:type="dxa"/>
              <w:start w:w="90" w:type="dxa"/>
              <w:bottom w:w="70" w:type="dxa"/>
              <w:end w:w="90" w:type="dxa"/>
            </w:tcMar>
          </w:tcPr>
          <w:p>
            <w:pPr>
              <w:spacing w:after="0"/>
            </w:pPr>
            <w:r/>
            <w:r>
              <w:rPr>
                <w:rFonts w:ascii="Aptos" w:hAnsi="Aptos"/>
                <w:b/>
                <w:color w:val="FFFFFF"/>
                <w:sz w:val="17"/>
              </w:rPr>
              <w:t>Technical condition</w:t>
            </w:r>
          </w:p>
        </w:tc>
        <w:tc>
          <w:tcPr>
            <w:tcW w:type="dxa" w:w="1440"/>
            <w:shd w:fill="1F4E78"/>
            <w:vAlign w:val="center"/>
            <w:tcMar>
              <w:top w:w="70" w:type="dxa"/>
              <w:start w:w="90" w:type="dxa"/>
              <w:bottom w:w="70" w:type="dxa"/>
              <w:end w:w="90" w:type="dxa"/>
            </w:tcMar>
          </w:tcPr>
          <w:p>
            <w:pPr>
              <w:spacing w:after="0"/>
            </w:pPr>
            <w:r/>
            <w:r>
              <w:rPr>
                <w:rFonts w:ascii="Aptos" w:hAnsi="Aptos"/>
                <w:b/>
                <w:color w:val="FFFFFF"/>
                <w:sz w:val="17"/>
              </w:rPr>
              <w:t>Dimension</w:t>
            </w:r>
          </w:p>
        </w:tc>
        <w:tc>
          <w:tcPr>
            <w:tcW w:type="dxa" w:w="1008"/>
            <w:shd w:fill="1F4E78"/>
            <w:vAlign w:val="center"/>
            <w:tcMar>
              <w:top w:w="70" w:type="dxa"/>
              <w:start w:w="90" w:type="dxa"/>
              <w:bottom w:w="70" w:type="dxa"/>
              <w:end w:w="90" w:type="dxa"/>
            </w:tcMar>
          </w:tcPr>
          <w:p>
            <w:pPr>
              <w:spacing w:after="0"/>
            </w:pPr>
            <w:r/>
            <w:r>
              <w:rPr>
                <w:rFonts w:ascii="Aptos" w:hAnsi="Aptos"/>
                <w:b/>
                <w:color w:val="FFFFFF"/>
                <w:sz w:val="17"/>
              </w:rPr>
              <w:t>Severity</w:t>
            </w:r>
          </w:p>
        </w:tc>
        <w:tc>
          <w:tcPr>
            <w:tcW w:type="dxa" w:w="2160"/>
            <w:shd w:fill="1F4E78"/>
            <w:vAlign w:val="center"/>
            <w:tcMar>
              <w:top w:w="70" w:type="dxa"/>
              <w:start w:w="90" w:type="dxa"/>
              <w:bottom w:w="70" w:type="dxa"/>
              <w:end w:w="90" w:type="dxa"/>
            </w:tcMar>
          </w:tcPr>
          <w:p>
            <w:pPr>
              <w:spacing w:after="0"/>
            </w:pPr>
            <w:r/>
            <w:r>
              <w:rPr>
                <w:rFonts w:ascii="Aptos" w:hAnsi="Aptos"/>
                <w:b/>
                <w:color w:val="FFFFFF"/>
                <w:sz w:val="17"/>
              </w:rPr>
              <w:t>Expected remediation</w:t>
            </w:r>
          </w:p>
        </w:tc>
      </w:tr>
      <w:tr>
        <w:tc>
          <w:tcPr>
            <w:tcW w:type="dxa" w:w="1080"/>
            <w:vAlign w:val="top"/>
            <w:tcMar>
              <w:top w:w="70" w:type="dxa"/>
              <w:start w:w="90" w:type="dxa"/>
              <w:bottom w:w="70" w:type="dxa"/>
              <w:end w:w="90" w:type="dxa"/>
            </w:tcMar>
          </w:tcPr>
          <w:p>
            <w:pPr>
              <w:spacing w:after="0"/>
            </w:pPr>
            <w:r/>
            <w:r>
              <w:rPr>
                <w:rFonts w:ascii="Aptos" w:hAnsi="Aptos"/>
                <w:b w:val="0"/>
                <w:sz w:val="13"/>
              </w:rPr>
              <w:t>DQ-LE-001</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silver.crm_legal_entities</w:t>
            </w:r>
          </w:p>
        </w:tc>
        <w:tc>
          <w:tcPr>
            <w:tcW w:type="dxa" w:w="2232"/>
            <w:vAlign w:val="top"/>
            <w:tcMar>
              <w:top w:w="70" w:type="dxa"/>
              <w:start w:w="90" w:type="dxa"/>
              <w:bottom w:w="70" w:type="dxa"/>
              <w:end w:w="90" w:type="dxa"/>
            </w:tcMar>
          </w:tcPr>
          <w:p>
            <w:pPr>
              <w:spacing w:after="0"/>
            </w:pPr>
            <w:r/>
            <w:r>
              <w:rPr>
                <w:rFonts w:ascii="Aptos" w:hAnsi="Aptos"/>
                <w:b w:val="0"/>
                <w:sz w:val="13"/>
              </w:rPr>
              <w:t>Active CRM legal entity must have a registry code.</w:t>
            </w:r>
          </w:p>
        </w:tc>
        <w:tc>
          <w:tcPr>
            <w:tcW w:type="dxa" w:w="2232"/>
            <w:vAlign w:val="top"/>
            <w:tcMar>
              <w:top w:w="70" w:type="dxa"/>
              <w:start w:w="90" w:type="dxa"/>
              <w:bottom w:w="70" w:type="dxa"/>
              <w:end w:w="90" w:type="dxa"/>
            </w:tcMar>
          </w:tcPr>
          <w:p>
            <w:pPr>
              <w:spacing w:after="0"/>
            </w:pPr>
            <w:r/>
            <w:r>
              <w:rPr>
                <w:rFonts w:ascii="Aptos" w:hAnsi="Aptos"/>
                <w:b w:val="0"/>
                <w:sz w:val="13"/>
              </w:rPr>
              <w:t>registry_code IS NULL</w:t>
            </w:r>
          </w:p>
        </w:tc>
        <w:tc>
          <w:tcPr>
            <w:tcW w:type="dxa" w:w="1440"/>
            <w:vAlign w:val="top"/>
            <w:tcMar>
              <w:top w:w="70" w:type="dxa"/>
              <w:start w:w="90" w:type="dxa"/>
              <w:bottom w:w="70" w:type="dxa"/>
              <w:end w:w="90" w:type="dxa"/>
            </w:tcMar>
          </w:tcPr>
          <w:p>
            <w:pPr>
              <w:spacing w:after="0"/>
            </w:pPr>
            <w:r/>
            <w:r>
              <w:rPr>
                <w:rFonts w:ascii="Aptos" w:hAnsi="Aptos"/>
                <w:b w:val="0"/>
                <w:sz w:val="13"/>
              </w:rPr>
              <w:t>Completeness</w:t>
            </w:r>
          </w:p>
        </w:tc>
        <w:tc>
          <w:tcPr>
            <w:tcW w:type="dxa" w:w="1008"/>
            <w:vAlign w:val="top"/>
            <w:tcMar>
              <w:top w:w="70" w:type="dxa"/>
              <w:start w:w="90" w:type="dxa"/>
              <w:bottom w:w="70" w:type="dxa"/>
              <w:end w:w="90" w:type="dxa"/>
            </w:tcMar>
          </w:tcPr>
          <w:p>
            <w:pPr>
              <w:spacing w:after="0"/>
            </w:pPr>
            <w:r/>
            <w:r>
              <w:rPr>
                <w:rFonts w:ascii="Aptos" w:hAnsi="Aptos"/>
                <w:b w:val="0"/>
                <w:sz w:val="13"/>
              </w:rPr>
              <w:t>Critical</w:t>
            </w:r>
          </w:p>
        </w:tc>
        <w:tc>
          <w:tcPr>
            <w:tcW w:type="dxa" w:w="2160"/>
            <w:vAlign w:val="top"/>
            <w:tcMar>
              <w:top w:w="70" w:type="dxa"/>
              <w:start w:w="90" w:type="dxa"/>
              <w:bottom w:w="70" w:type="dxa"/>
              <w:end w:w="90" w:type="dxa"/>
            </w:tcMar>
          </w:tcPr>
          <w:p>
            <w:pPr>
              <w:spacing w:after="0"/>
            </w:pPr>
            <w:r/>
            <w:r>
              <w:rPr>
                <w:rFonts w:ascii="Aptos" w:hAnsi="Aptos"/>
                <w:b w:val="0"/>
                <w:sz w:val="13"/>
              </w:rPr>
              <w:t>Create or correct the registry identifier in the source CRM process.</w:t>
            </w:r>
          </w:p>
        </w:tc>
      </w:tr>
      <w:tr>
        <w:tc>
          <w:tcPr>
            <w:tcW w:type="dxa" w:w="1080"/>
            <w:vAlign w:val="top"/>
            <w:tcMar>
              <w:top w:w="70" w:type="dxa"/>
              <w:start w:w="90" w:type="dxa"/>
              <w:bottom w:w="70" w:type="dxa"/>
              <w:end w:w="90" w:type="dxa"/>
            </w:tcMar>
          </w:tcPr>
          <w:p>
            <w:pPr>
              <w:spacing w:after="0"/>
            </w:pPr>
            <w:r/>
            <w:r>
              <w:rPr>
                <w:rFonts w:ascii="Aptos" w:hAnsi="Aptos"/>
                <w:b w:val="0"/>
                <w:sz w:val="13"/>
              </w:rPr>
              <w:t>DQ-LE-002</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silver.crm_legal_entities</w:t>
            </w:r>
          </w:p>
        </w:tc>
        <w:tc>
          <w:tcPr>
            <w:tcW w:type="dxa" w:w="2232"/>
            <w:vAlign w:val="top"/>
            <w:tcMar>
              <w:top w:w="70" w:type="dxa"/>
              <w:start w:w="90" w:type="dxa"/>
              <w:bottom w:w="70" w:type="dxa"/>
              <w:end w:w="90" w:type="dxa"/>
            </w:tcMar>
          </w:tcPr>
          <w:p>
            <w:pPr>
              <w:spacing w:after="0"/>
            </w:pPr>
            <w:r/>
            <w:r>
              <w:rPr>
                <w:rFonts w:ascii="Aptos" w:hAnsi="Aptos"/>
                <w:b w:val="0"/>
                <w:sz w:val="13"/>
              </w:rPr>
              <w:t>Registry code must be unique in CRM.</w:t>
            </w:r>
          </w:p>
        </w:tc>
        <w:tc>
          <w:tcPr>
            <w:tcW w:type="dxa" w:w="2232"/>
            <w:vAlign w:val="top"/>
            <w:tcMar>
              <w:top w:w="70" w:type="dxa"/>
              <w:start w:w="90" w:type="dxa"/>
              <w:bottom w:w="70" w:type="dxa"/>
              <w:end w:w="90" w:type="dxa"/>
            </w:tcMar>
          </w:tcPr>
          <w:p>
            <w:pPr>
              <w:spacing w:after="0"/>
            </w:pPr>
            <w:r/>
            <w:r>
              <w:rPr>
                <w:rFonts w:ascii="Aptos" w:hAnsi="Aptos"/>
                <w:b w:val="0"/>
                <w:sz w:val="13"/>
              </w:rPr>
              <w:t>COUNT(*) by registry_code &gt; 1; count excess rows</w:t>
            </w:r>
          </w:p>
        </w:tc>
        <w:tc>
          <w:tcPr>
            <w:tcW w:type="dxa" w:w="1440"/>
            <w:vAlign w:val="top"/>
            <w:tcMar>
              <w:top w:w="70" w:type="dxa"/>
              <w:start w:w="90" w:type="dxa"/>
              <w:bottom w:w="70" w:type="dxa"/>
              <w:end w:w="90" w:type="dxa"/>
            </w:tcMar>
          </w:tcPr>
          <w:p>
            <w:pPr>
              <w:spacing w:after="0"/>
            </w:pPr>
            <w:r/>
            <w:r>
              <w:rPr>
                <w:rFonts w:ascii="Aptos" w:hAnsi="Aptos"/>
                <w:b w:val="0"/>
                <w:sz w:val="13"/>
              </w:rPr>
              <w:t>Uniqueness</w:t>
            </w:r>
          </w:p>
        </w:tc>
        <w:tc>
          <w:tcPr>
            <w:tcW w:type="dxa" w:w="1008"/>
            <w:vAlign w:val="top"/>
            <w:tcMar>
              <w:top w:w="70" w:type="dxa"/>
              <w:start w:w="90" w:type="dxa"/>
              <w:bottom w:w="70" w:type="dxa"/>
              <w:end w:w="90" w:type="dxa"/>
            </w:tcMar>
          </w:tcPr>
          <w:p>
            <w:pPr>
              <w:spacing w:after="0"/>
            </w:pPr>
            <w:r/>
            <w:r>
              <w:rPr>
                <w:rFonts w:ascii="Aptos" w:hAnsi="Aptos"/>
                <w:b w:val="0"/>
                <w:sz w:val="13"/>
              </w:rPr>
              <w:t>Critical</w:t>
            </w:r>
          </w:p>
        </w:tc>
        <w:tc>
          <w:tcPr>
            <w:tcW w:type="dxa" w:w="2160"/>
            <w:vAlign w:val="top"/>
            <w:tcMar>
              <w:top w:w="70" w:type="dxa"/>
              <w:start w:w="90" w:type="dxa"/>
              <w:bottom w:w="70" w:type="dxa"/>
              <w:end w:w="90" w:type="dxa"/>
            </w:tcMar>
          </w:tcPr>
          <w:p>
            <w:pPr>
              <w:spacing w:after="0"/>
            </w:pPr>
            <w:r/>
            <w:r>
              <w:rPr>
                <w:rFonts w:ascii="Aptos" w:hAnsi="Aptos"/>
                <w:b w:val="0"/>
                <w:sz w:val="13"/>
              </w:rPr>
              <w:t>Merge duplicates and prevent duplicate corporate onboarding.</w:t>
            </w:r>
          </w:p>
        </w:tc>
      </w:tr>
      <w:tr>
        <w:tc>
          <w:tcPr>
            <w:tcW w:type="dxa" w:w="1080"/>
            <w:vAlign w:val="top"/>
            <w:tcMar>
              <w:top w:w="70" w:type="dxa"/>
              <w:start w:w="90" w:type="dxa"/>
              <w:bottom w:w="70" w:type="dxa"/>
              <w:end w:w="90" w:type="dxa"/>
            </w:tcMar>
          </w:tcPr>
          <w:p>
            <w:pPr>
              <w:spacing w:after="0"/>
            </w:pPr>
            <w:r/>
            <w:r>
              <w:rPr>
                <w:rFonts w:ascii="Aptos" w:hAnsi="Aptos"/>
                <w:b w:val="0"/>
                <w:sz w:val="13"/>
              </w:rPr>
              <w:t>DQ-LE-003</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silver.registry_legal_entities</w:t>
            </w:r>
          </w:p>
        </w:tc>
        <w:tc>
          <w:tcPr>
            <w:tcW w:type="dxa" w:w="2232"/>
            <w:vAlign w:val="top"/>
            <w:tcMar>
              <w:top w:w="70" w:type="dxa"/>
              <w:start w:w="90" w:type="dxa"/>
              <w:bottom w:w="70" w:type="dxa"/>
              <w:end w:w="90" w:type="dxa"/>
            </w:tcMar>
          </w:tcPr>
          <w:p>
            <w:pPr>
              <w:spacing w:after="0"/>
            </w:pPr>
            <w:r/>
            <w:r>
              <w:rPr>
                <w:rFonts w:ascii="Aptos" w:hAnsi="Aptos"/>
                <w:b w:val="0"/>
                <w:sz w:val="13"/>
              </w:rPr>
              <w:t>Country code must be EE, LV or LT.</w:t>
            </w:r>
          </w:p>
        </w:tc>
        <w:tc>
          <w:tcPr>
            <w:tcW w:type="dxa" w:w="2232"/>
            <w:vAlign w:val="top"/>
            <w:tcMar>
              <w:top w:w="70" w:type="dxa"/>
              <w:start w:w="90" w:type="dxa"/>
              <w:bottom w:w="70" w:type="dxa"/>
              <w:end w:w="90" w:type="dxa"/>
            </w:tcMar>
          </w:tcPr>
          <w:p>
            <w:pPr>
              <w:spacing w:after="0"/>
            </w:pPr>
            <w:r/>
            <w:r>
              <w:rPr>
                <w:rFonts w:ascii="Aptos" w:hAnsi="Aptos"/>
                <w:b w:val="0"/>
                <w:sz w:val="13"/>
              </w:rPr>
              <w:t>country_code NOT IN (EE, LV, LT)</w:t>
            </w:r>
          </w:p>
        </w:tc>
        <w:tc>
          <w:tcPr>
            <w:tcW w:type="dxa" w:w="1440"/>
            <w:vAlign w:val="top"/>
            <w:tcMar>
              <w:top w:w="70" w:type="dxa"/>
              <w:start w:w="90" w:type="dxa"/>
              <w:bottom w:w="70" w:type="dxa"/>
              <w:end w:w="90" w:type="dxa"/>
            </w:tcMar>
          </w:tcPr>
          <w:p>
            <w:pPr>
              <w:spacing w:after="0"/>
            </w:pPr>
            <w:r/>
            <w:r>
              <w:rPr>
                <w:rFonts w:ascii="Aptos" w:hAnsi="Aptos"/>
                <w:b w:val="0"/>
                <w:sz w:val="13"/>
              </w:rPr>
              <w:t>Validity</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Correct source reference data or country mapping.</w:t>
            </w:r>
          </w:p>
        </w:tc>
      </w:tr>
      <w:tr>
        <w:tc>
          <w:tcPr>
            <w:tcW w:type="dxa" w:w="1080"/>
            <w:vAlign w:val="top"/>
            <w:tcMar>
              <w:top w:w="70" w:type="dxa"/>
              <w:start w:w="90" w:type="dxa"/>
              <w:bottom w:w="70" w:type="dxa"/>
              <w:end w:w="90" w:type="dxa"/>
            </w:tcMar>
          </w:tcPr>
          <w:p>
            <w:pPr>
              <w:spacing w:after="0"/>
            </w:pPr>
            <w:r/>
            <w:r>
              <w:rPr>
                <w:rFonts w:ascii="Aptos" w:hAnsi="Aptos"/>
                <w:b w:val="0"/>
                <w:sz w:val="13"/>
              </w:rPr>
              <w:t>DQ-LE-004</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silver.registry_legal_entities</w:t>
            </w:r>
          </w:p>
        </w:tc>
        <w:tc>
          <w:tcPr>
            <w:tcW w:type="dxa" w:w="2232"/>
            <w:vAlign w:val="top"/>
            <w:tcMar>
              <w:top w:w="70" w:type="dxa"/>
              <w:start w:w="90" w:type="dxa"/>
              <w:bottom w:w="70" w:type="dxa"/>
              <w:end w:w="90" w:type="dxa"/>
            </w:tcMar>
          </w:tcPr>
          <w:p>
            <w:pPr>
              <w:spacing w:after="0"/>
            </w:pPr>
            <w:r/>
            <w:r>
              <w:rPr>
                <w:rFonts w:ascii="Aptos" w:hAnsi="Aptos"/>
                <w:b w:val="0"/>
                <w:sz w:val="13"/>
              </w:rPr>
              <w:t>An Active legal entity must not have a closure date.</w:t>
            </w:r>
          </w:p>
        </w:tc>
        <w:tc>
          <w:tcPr>
            <w:tcW w:type="dxa" w:w="2232"/>
            <w:vAlign w:val="top"/>
            <w:tcMar>
              <w:top w:w="70" w:type="dxa"/>
              <w:start w:w="90" w:type="dxa"/>
              <w:bottom w:w="70" w:type="dxa"/>
              <w:end w:w="90" w:type="dxa"/>
            </w:tcMar>
          </w:tcPr>
          <w:p>
            <w:pPr>
              <w:spacing w:after="0"/>
            </w:pPr>
            <w:r/>
            <w:r>
              <w:rPr>
                <w:rFonts w:ascii="Aptos" w:hAnsi="Aptos"/>
                <w:b w:val="0"/>
                <w:sz w:val="13"/>
              </w:rPr>
              <w:t>legal_status = Active AND closure_date IS NOT NULL</w:t>
            </w:r>
          </w:p>
        </w:tc>
        <w:tc>
          <w:tcPr>
            <w:tcW w:type="dxa" w:w="1440"/>
            <w:vAlign w:val="top"/>
            <w:tcMar>
              <w:top w:w="70" w:type="dxa"/>
              <w:start w:w="90" w:type="dxa"/>
              <w:bottom w:w="70" w:type="dxa"/>
              <w:end w:w="90" w:type="dxa"/>
            </w:tcMar>
          </w:tcPr>
          <w:p>
            <w:pPr>
              <w:spacing w:after="0"/>
            </w:pPr>
            <w:r/>
            <w:r>
              <w:rPr>
                <w:rFonts w:ascii="Aptos" w:hAnsi="Aptos"/>
                <w:b w:val="0"/>
                <w:sz w:val="13"/>
              </w:rPr>
              <w:t>Consistency</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Reconcile status and legal lifecycle dates with the registry.</w:t>
            </w:r>
          </w:p>
        </w:tc>
      </w:tr>
      <w:tr>
        <w:tc>
          <w:tcPr>
            <w:tcW w:type="dxa" w:w="1080"/>
            <w:vAlign w:val="top"/>
            <w:tcMar>
              <w:top w:w="70" w:type="dxa"/>
              <w:start w:w="90" w:type="dxa"/>
              <w:bottom w:w="70" w:type="dxa"/>
              <w:end w:w="90" w:type="dxa"/>
            </w:tcMar>
          </w:tcPr>
          <w:p>
            <w:pPr>
              <w:spacing w:after="0"/>
            </w:pPr>
            <w:r/>
            <w:r>
              <w:rPr>
                <w:rFonts w:ascii="Aptos" w:hAnsi="Aptos"/>
                <w:b w:val="0"/>
                <w:sz w:val="13"/>
              </w:rPr>
              <w:t>DQ-LE-005</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silver.registry_legal_entities</w:t>
            </w:r>
          </w:p>
        </w:tc>
        <w:tc>
          <w:tcPr>
            <w:tcW w:type="dxa" w:w="2232"/>
            <w:vAlign w:val="top"/>
            <w:tcMar>
              <w:top w:w="70" w:type="dxa"/>
              <w:start w:w="90" w:type="dxa"/>
              <w:bottom w:w="70" w:type="dxa"/>
              <w:end w:w="90" w:type="dxa"/>
            </w:tcMar>
          </w:tcPr>
          <w:p>
            <w:pPr>
              <w:spacing w:after="0"/>
            </w:pPr>
            <w:r/>
            <w:r>
              <w:rPr>
                <w:rFonts w:ascii="Aptos" w:hAnsi="Aptos"/>
                <w:b w:val="0"/>
                <w:sz w:val="13"/>
              </w:rPr>
              <w:t>Parent legal entity must exist.</w:t>
            </w:r>
          </w:p>
        </w:tc>
        <w:tc>
          <w:tcPr>
            <w:tcW w:type="dxa" w:w="2232"/>
            <w:vAlign w:val="top"/>
            <w:tcMar>
              <w:top w:w="70" w:type="dxa"/>
              <w:start w:w="90" w:type="dxa"/>
              <w:bottom w:w="70" w:type="dxa"/>
              <w:end w:w="90" w:type="dxa"/>
            </w:tcMar>
          </w:tcPr>
          <w:p>
            <w:pPr>
              <w:spacing w:after="0"/>
            </w:pPr>
            <w:r/>
            <w:r>
              <w:rPr>
                <w:rFonts w:ascii="Aptos" w:hAnsi="Aptos"/>
                <w:b w:val="0"/>
                <w:sz w:val="13"/>
              </w:rPr>
              <w:t>parent_registry_code has no registry match</w:t>
            </w:r>
          </w:p>
        </w:tc>
        <w:tc>
          <w:tcPr>
            <w:tcW w:type="dxa" w:w="1440"/>
            <w:vAlign w:val="top"/>
            <w:tcMar>
              <w:top w:w="70" w:type="dxa"/>
              <w:start w:w="90" w:type="dxa"/>
              <w:bottom w:w="70" w:type="dxa"/>
              <w:end w:w="90" w:type="dxa"/>
            </w:tcMar>
          </w:tcPr>
          <w:p>
            <w:pPr>
              <w:spacing w:after="0"/>
            </w:pPr>
            <w:r/>
            <w:r>
              <w:rPr>
                <w:rFonts w:ascii="Aptos" w:hAnsi="Aptos"/>
                <w:b w:val="0"/>
                <w:sz w:val="13"/>
              </w:rPr>
              <w:t>Referential Integrity</w:t>
            </w:r>
          </w:p>
        </w:tc>
        <w:tc>
          <w:tcPr>
            <w:tcW w:type="dxa" w:w="1008"/>
            <w:vAlign w:val="top"/>
            <w:tcMar>
              <w:top w:w="70" w:type="dxa"/>
              <w:start w:w="90" w:type="dxa"/>
              <w:bottom w:w="70" w:type="dxa"/>
              <w:end w:w="90" w:type="dxa"/>
            </w:tcMar>
          </w:tcPr>
          <w:p>
            <w:pPr>
              <w:spacing w:after="0"/>
            </w:pPr>
            <w:r/>
            <w:r>
              <w:rPr>
                <w:rFonts w:ascii="Aptos" w:hAnsi="Aptos"/>
                <w:b w:val="0"/>
                <w:sz w:val="13"/>
              </w:rPr>
              <w:t>Medium</w:t>
            </w:r>
          </w:p>
        </w:tc>
        <w:tc>
          <w:tcPr>
            <w:tcW w:type="dxa" w:w="2160"/>
            <w:vAlign w:val="top"/>
            <w:tcMar>
              <w:top w:w="70" w:type="dxa"/>
              <w:start w:w="90" w:type="dxa"/>
              <w:bottom w:w="70" w:type="dxa"/>
              <w:end w:w="90" w:type="dxa"/>
            </w:tcMar>
          </w:tcPr>
          <w:p>
            <w:pPr>
              <w:spacing w:after="0"/>
            </w:pPr>
            <w:r/>
            <w:r>
              <w:rPr>
                <w:rFonts w:ascii="Aptos" w:hAnsi="Aptos"/>
                <w:b w:val="0"/>
                <w:sz w:val="13"/>
              </w:rPr>
              <w:t>Correct or remove invalid parent relationship.</w:t>
            </w:r>
          </w:p>
        </w:tc>
      </w:tr>
      <w:tr>
        <w:tc>
          <w:tcPr>
            <w:tcW w:type="dxa" w:w="1080"/>
            <w:vAlign w:val="top"/>
            <w:tcMar>
              <w:top w:w="70" w:type="dxa"/>
              <w:start w:w="90" w:type="dxa"/>
              <w:bottom w:w="70" w:type="dxa"/>
              <w:end w:w="90" w:type="dxa"/>
            </w:tcMar>
          </w:tcPr>
          <w:p>
            <w:pPr>
              <w:spacing w:after="0"/>
            </w:pPr>
            <w:r/>
            <w:r>
              <w:rPr>
                <w:rFonts w:ascii="Aptos" w:hAnsi="Aptos"/>
                <w:b w:val="0"/>
                <w:sz w:val="13"/>
              </w:rPr>
              <w:t>DQ-LE-006</w:t>
            </w:r>
          </w:p>
        </w:tc>
        <w:tc>
          <w:tcPr>
            <w:tcW w:type="dxa" w:w="1296"/>
            <w:vAlign w:val="top"/>
            <w:tcMar>
              <w:top w:w="70" w:type="dxa"/>
              <w:start w:w="90" w:type="dxa"/>
              <w:bottom w:w="70" w:type="dxa"/>
              <w:end w:w="90" w:type="dxa"/>
            </w:tcMar>
          </w:tcPr>
          <w:p>
            <w:pPr>
              <w:spacing w:after="0"/>
            </w:pPr>
            <w:r/>
            <w:r>
              <w:rPr>
                <w:rFonts w:ascii="Aptos" w:hAnsi="Aptos"/>
                <w:b w:val="0"/>
                <w:sz w:val="13"/>
              </w:rPr>
              <w:t>Legal Entity</w:t>
            </w:r>
          </w:p>
        </w:tc>
        <w:tc>
          <w:tcPr>
            <w:tcW w:type="dxa" w:w="1872"/>
            <w:vAlign w:val="top"/>
            <w:tcMar>
              <w:top w:w="70" w:type="dxa"/>
              <w:start w:w="90" w:type="dxa"/>
              <w:bottom w:w="70" w:type="dxa"/>
              <w:end w:w="90" w:type="dxa"/>
            </w:tcMar>
          </w:tcPr>
          <w:p>
            <w:pPr>
              <w:spacing w:after="0"/>
            </w:pPr>
            <w:r/>
            <w:r>
              <w:rPr>
                <w:rFonts w:ascii="Aptos" w:hAnsi="Aptos"/>
                <w:b w:val="0"/>
                <w:sz w:val="13"/>
              </w:rPr>
              <w:t>silver.registry_legal_entities + silver.kyc_legal_entities</w:t>
            </w:r>
          </w:p>
        </w:tc>
        <w:tc>
          <w:tcPr>
            <w:tcW w:type="dxa" w:w="2232"/>
            <w:vAlign w:val="top"/>
            <w:tcMar>
              <w:top w:w="70" w:type="dxa"/>
              <w:start w:w="90" w:type="dxa"/>
              <w:bottom w:w="70" w:type="dxa"/>
              <w:end w:w="90" w:type="dxa"/>
            </w:tcMar>
          </w:tcPr>
          <w:p>
            <w:pPr>
              <w:spacing w:after="0"/>
            </w:pPr>
            <w:r/>
            <w:r>
              <w:rPr>
                <w:rFonts w:ascii="Aptos" w:hAnsi="Aptos"/>
                <w:b w:val="0"/>
                <w:sz w:val="13"/>
              </w:rPr>
              <w:t>KYC status must be consistent with registry status.</w:t>
            </w:r>
          </w:p>
        </w:tc>
        <w:tc>
          <w:tcPr>
            <w:tcW w:type="dxa" w:w="2232"/>
            <w:vAlign w:val="top"/>
            <w:tcMar>
              <w:top w:w="70" w:type="dxa"/>
              <w:start w:w="90" w:type="dxa"/>
              <w:bottom w:w="70" w:type="dxa"/>
              <w:end w:w="90" w:type="dxa"/>
            </w:tcMar>
          </w:tcPr>
          <w:p>
            <w:pPr>
              <w:spacing w:after="0"/>
            </w:pPr>
            <w:r/>
            <w:r>
              <w:rPr>
                <w:rFonts w:ascii="Aptos" w:hAnsi="Aptos"/>
                <w:b w:val="0"/>
                <w:sz w:val="13"/>
              </w:rPr>
              <w:t>Active registry with non-Approved KYC, or inactive registry with Approved KYC</w:t>
            </w:r>
          </w:p>
        </w:tc>
        <w:tc>
          <w:tcPr>
            <w:tcW w:type="dxa" w:w="1440"/>
            <w:vAlign w:val="top"/>
            <w:tcMar>
              <w:top w:w="70" w:type="dxa"/>
              <w:start w:w="90" w:type="dxa"/>
              <w:bottom w:w="70" w:type="dxa"/>
              <w:end w:w="90" w:type="dxa"/>
            </w:tcMar>
          </w:tcPr>
          <w:p>
            <w:pPr>
              <w:spacing w:after="0"/>
            </w:pPr>
            <w:r/>
            <w:r>
              <w:rPr>
                <w:rFonts w:ascii="Aptos" w:hAnsi="Aptos"/>
                <w:b w:val="0"/>
                <w:sz w:val="13"/>
              </w:rPr>
              <w:t>Consistency</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Investigate stale KYC status and trigger review or closure.</w:t>
            </w:r>
          </w:p>
        </w:tc>
      </w:tr>
      <w:tr>
        <w:tc>
          <w:tcPr>
            <w:tcW w:type="dxa" w:w="1080"/>
            <w:vAlign w:val="top"/>
            <w:tcMar>
              <w:top w:w="70" w:type="dxa"/>
              <w:start w:w="90" w:type="dxa"/>
              <w:bottom w:w="70" w:type="dxa"/>
              <w:end w:w="90" w:type="dxa"/>
            </w:tcMar>
          </w:tcPr>
          <w:p>
            <w:pPr>
              <w:spacing w:after="0"/>
            </w:pPr>
            <w:r/>
            <w:r>
              <w:rPr>
                <w:rFonts w:ascii="Aptos" w:hAnsi="Aptos"/>
                <w:b w:val="0"/>
                <w:sz w:val="13"/>
              </w:rPr>
              <w:t>DQ-SALES-001</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silver.product_contracts</w:t>
            </w:r>
          </w:p>
        </w:tc>
        <w:tc>
          <w:tcPr>
            <w:tcW w:type="dxa" w:w="2232"/>
            <w:vAlign w:val="top"/>
            <w:tcMar>
              <w:top w:w="70" w:type="dxa"/>
              <w:start w:w="90" w:type="dxa"/>
              <w:bottom w:w="70" w:type="dxa"/>
              <w:end w:w="90" w:type="dxa"/>
            </w:tcMar>
          </w:tcPr>
          <w:p>
            <w:pPr>
              <w:spacing w:after="0"/>
            </w:pPr>
            <w:r/>
            <w:r>
              <w:rPr>
                <w:rFonts w:ascii="Aptos" w:hAnsi="Aptos"/>
                <w:b w:val="0"/>
                <w:sz w:val="13"/>
              </w:rPr>
              <w:t>Contract ID must be unique.</w:t>
            </w:r>
          </w:p>
        </w:tc>
        <w:tc>
          <w:tcPr>
            <w:tcW w:type="dxa" w:w="2232"/>
            <w:vAlign w:val="top"/>
            <w:tcMar>
              <w:top w:w="70" w:type="dxa"/>
              <w:start w:w="90" w:type="dxa"/>
              <w:bottom w:w="70" w:type="dxa"/>
              <w:end w:w="90" w:type="dxa"/>
            </w:tcMar>
          </w:tcPr>
          <w:p>
            <w:pPr>
              <w:spacing w:after="0"/>
            </w:pPr>
            <w:r/>
            <w:r>
              <w:rPr>
                <w:rFonts w:ascii="Aptos" w:hAnsi="Aptos"/>
                <w:b w:val="0"/>
                <w:sz w:val="13"/>
              </w:rPr>
              <w:t>COUNT(*) by contract_id &gt; 1; count excess rows</w:t>
            </w:r>
          </w:p>
        </w:tc>
        <w:tc>
          <w:tcPr>
            <w:tcW w:type="dxa" w:w="1440"/>
            <w:vAlign w:val="top"/>
            <w:tcMar>
              <w:top w:w="70" w:type="dxa"/>
              <w:start w:w="90" w:type="dxa"/>
              <w:bottom w:w="70" w:type="dxa"/>
              <w:end w:w="90" w:type="dxa"/>
            </w:tcMar>
          </w:tcPr>
          <w:p>
            <w:pPr>
              <w:spacing w:after="0"/>
            </w:pPr>
            <w:r/>
            <w:r>
              <w:rPr>
                <w:rFonts w:ascii="Aptos" w:hAnsi="Aptos"/>
                <w:b w:val="0"/>
                <w:sz w:val="13"/>
              </w:rPr>
              <w:t>Uniqueness</w:t>
            </w:r>
          </w:p>
        </w:tc>
        <w:tc>
          <w:tcPr>
            <w:tcW w:type="dxa" w:w="1008"/>
            <w:vAlign w:val="top"/>
            <w:tcMar>
              <w:top w:w="70" w:type="dxa"/>
              <w:start w:w="90" w:type="dxa"/>
              <w:bottom w:w="70" w:type="dxa"/>
              <w:end w:w="90" w:type="dxa"/>
            </w:tcMar>
          </w:tcPr>
          <w:p>
            <w:pPr>
              <w:spacing w:after="0"/>
            </w:pPr>
            <w:r/>
            <w:r>
              <w:rPr>
                <w:rFonts w:ascii="Aptos" w:hAnsi="Aptos"/>
                <w:b w:val="0"/>
                <w:sz w:val="13"/>
              </w:rPr>
              <w:t>Critical</w:t>
            </w:r>
          </w:p>
        </w:tc>
        <w:tc>
          <w:tcPr>
            <w:tcW w:type="dxa" w:w="2160"/>
            <w:vAlign w:val="top"/>
            <w:tcMar>
              <w:top w:w="70" w:type="dxa"/>
              <w:start w:w="90" w:type="dxa"/>
              <w:bottom w:w="70" w:type="dxa"/>
              <w:end w:w="90" w:type="dxa"/>
            </w:tcMar>
          </w:tcPr>
          <w:p>
            <w:pPr>
              <w:spacing w:after="0"/>
            </w:pPr>
            <w:r/>
            <w:r>
              <w:rPr>
                <w:rFonts w:ascii="Aptos" w:hAnsi="Aptos"/>
                <w:b w:val="0"/>
                <w:sz w:val="13"/>
              </w:rPr>
              <w:t>Remove duplicates and correct upstream ingestion or contract creation logic.</w:t>
            </w:r>
          </w:p>
        </w:tc>
      </w:tr>
      <w:tr>
        <w:tc>
          <w:tcPr>
            <w:tcW w:type="dxa" w:w="1080"/>
            <w:vAlign w:val="top"/>
            <w:tcMar>
              <w:top w:w="70" w:type="dxa"/>
              <w:start w:w="90" w:type="dxa"/>
              <w:bottom w:w="70" w:type="dxa"/>
              <w:end w:w="90" w:type="dxa"/>
            </w:tcMar>
          </w:tcPr>
          <w:p>
            <w:pPr>
              <w:spacing w:after="0"/>
            </w:pPr>
            <w:r/>
            <w:r>
              <w:rPr>
                <w:rFonts w:ascii="Aptos" w:hAnsi="Aptos"/>
                <w:b w:val="0"/>
                <w:sz w:val="13"/>
              </w:rPr>
              <w:t>DQ-SALES-002</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silver.product_contracts</w:t>
            </w:r>
          </w:p>
        </w:tc>
        <w:tc>
          <w:tcPr>
            <w:tcW w:type="dxa" w:w="2232"/>
            <w:vAlign w:val="top"/>
            <w:tcMar>
              <w:top w:w="70" w:type="dxa"/>
              <w:start w:w="90" w:type="dxa"/>
              <w:bottom w:w="70" w:type="dxa"/>
              <w:end w:w="90" w:type="dxa"/>
            </w:tcMar>
          </w:tcPr>
          <w:p>
            <w:pPr>
              <w:spacing w:after="0"/>
            </w:pPr>
            <w:r/>
            <w:r>
              <w:rPr>
                <w:rFonts w:ascii="Aptos" w:hAnsi="Aptos"/>
                <w:b w:val="0"/>
                <w:sz w:val="13"/>
              </w:rPr>
              <w:t>An Active contract must have an activation date.</w:t>
            </w:r>
          </w:p>
        </w:tc>
        <w:tc>
          <w:tcPr>
            <w:tcW w:type="dxa" w:w="2232"/>
            <w:vAlign w:val="top"/>
            <w:tcMar>
              <w:top w:w="70" w:type="dxa"/>
              <w:start w:w="90" w:type="dxa"/>
              <w:bottom w:w="70" w:type="dxa"/>
              <w:end w:w="90" w:type="dxa"/>
            </w:tcMar>
          </w:tcPr>
          <w:p>
            <w:pPr>
              <w:spacing w:after="0"/>
            </w:pPr>
            <w:r/>
            <w:r>
              <w:rPr>
                <w:rFonts w:ascii="Aptos" w:hAnsi="Aptos"/>
                <w:b w:val="0"/>
                <w:sz w:val="13"/>
              </w:rPr>
              <w:t>contract_status = Active AND activation_date IS NULL</w:t>
            </w:r>
          </w:p>
        </w:tc>
        <w:tc>
          <w:tcPr>
            <w:tcW w:type="dxa" w:w="1440"/>
            <w:vAlign w:val="top"/>
            <w:tcMar>
              <w:top w:w="70" w:type="dxa"/>
              <w:start w:w="90" w:type="dxa"/>
              <w:bottom w:w="70" w:type="dxa"/>
              <w:end w:w="90" w:type="dxa"/>
            </w:tcMar>
          </w:tcPr>
          <w:p>
            <w:pPr>
              <w:spacing w:after="0"/>
            </w:pPr>
            <w:r/>
            <w:r>
              <w:rPr>
                <w:rFonts w:ascii="Aptos" w:hAnsi="Aptos"/>
                <w:b w:val="0"/>
                <w:sz w:val="13"/>
              </w:rPr>
              <w:t>Completeness</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Complete the activation event or correct the contract status.</w:t>
            </w:r>
          </w:p>
        </w:tc>
      </w:tr>
      <w:tr>
        <w:tc>
          <w:tcPr>
            <w:tcW w:type="dxa" w:w="1080"/>
            <w:vAlign w:val="top"/>
            <w:tcMar>
              <w:top w:w="70" w:type="dxa"/>
              <w:start w:w="90" w:type="dxa"/>
              <w:bottom w:w="70" w:type="dxa"/>
              <w:end w:w="90" w:type="dxa"/>
            </w:tcMar>
          </w:tcPr>
          <w:p>
            <w:pPr>
              <w:spacing w:after="0"/>
            </w:pPr>
            <w:r/>
            <w:r>
              <w:rPr>
                <w:rFonts w:ascii="Aptos" w:hAnsi="Aptos"/>
                <w:b w:val="0"/>
                <w:sz w:val="13"/>
              </w:rPr>
              <w:t>DQ-SALES-003</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silver.product_contracts</w:t>
            </w:r>
          </w:p>
        </w:tc>
        <w:tc>
          <w:tcPr>
            <w:tcW w:type="dxa" w:w="2232"/>
            <w:vAlign w:val="top"/>
            <w:tcMar>
              <w:top w:w="70" w:type="dxa"/>
              <w:start w:w="90" w:type="dxa"/>
              <w:bottom w:w="70" w:type="dxa"/>
              <w:end w:w="90" w:type="dxa"/>
            </w:tcMar>
          </w:tcPr>
          <w:p>
            <w:pPr>
              <w:spacing w:after="0"/>
            </w:pPr>
            <w:r/>
            <w:r>
              <w:rPr>
                <w:rFonts w:ascii="Aptos" w:hAnsi="Aptos"/>
                <w:b w:val="0"/>
                <w:sz w:val="13"/>
              </w:rPr>
              <w:t>Product must belong to the approved product taxonomy.</w:t>
            </w:r>
          </w:p>
        </w:tc>
        <w:tc>
          <w:tcPr>
            <w:tcW w:type="dxa" w:w="2232"/>
            <w:vAlign w:val="top"/>
            <w:tcMar>
              <w:top w:w="70" w:type="dxa"/>
              <w:start w:w="90" w:type="dxa"/>
              <w:bottom w:w="70" w:type="dxa"/>
              <w:end w:w="90" w:type="dxa"/>
            </w:tcMar>
          </w:tcPr>
          <w:p>
            <w:pPr>
              <w:spacing w:after="0"/>
            </w:pPr>
            <w:r/>
            <w:r>
              <w:rPr>
                <w:rFonts w:ascii="Aptos" w:hAnsi="Aptos"/>
                <w:b w:val="0"/>
                <w:sz w:val="13"/>
              </w:rPr>
              <w:t>product_type NOT IN approved product list</w:t>
            </w:r>
          </w:p>
        </w:tc>
        <w:tc>
          <w:tcPr>
            <w:tcW w:type="dxa" w:w="1440"/>
            <w:vAlign w:val="top"/>
            <w:tcMar>
              <w:top w:w="70" w:type="dxa"/>
              <w:start w:w="90" w:type="dxa"/>
              <w:bottom w:w="70" w:type="dxa"/>
              <w:end w:w="90" w:type="dxa"/>
            </w:tcMar>
          </w:tcPr>
          <w:p>
            <w:pPr>
              <w:spacing w:after="0"/>
            </w:pPr>
            <w:r/>
            <w:r>
              <w:rPr>
                <w:rFonts w:ascii="Aptos" w:hAnsi="Aptos"/>
                <w:b w:val="0"/>
                <w:sz w:val="13"/>
              </w:rPr>
              <w:t>Validity</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Map to an approved category or correct the source product value.</w:t>
            </w:r>
          </w:p>
        </w:tc>
      </w:tr>
      <w:tr>
        <w:tc>
          <w:tcPr>
            <w:tcW w:type="dxa" w:w="1080"/>
            <w:vAlign w:val="top"/>
            <w:tcMar>
              <w:top w:w="70" w:type="dxa"/>
              <w:start w:w="90" w:type="dxa"/>
              <w:bottom w:w="70" w:type="dxa"/>
              <w:end w:w="90" w:type="dxa"/>
            </w:tcMar>
          </w:tcPr>
          <w:p>
            <w:pPr>
              <w:spacing w:after="0"/>
            </w:pPr>
            <w:r/>
            <w:r>
              <w:rPr>
                <w:rFonts w:ascii="Aptos" w:hAnsi="Aptos"/>
                <w:b w:val="0"/>
                <w:sz w:val="13"/>
              </w:rPr>
              <w:t>DQ-SALES-004</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silver.product_contracts</w:t>
            </w:r>
          </w:p>
        </w:tc>
        <w:tc>
          <w:tcPr>
            <w:tcW w:type="dxa" w:w="2232"/>
            <w:vAlign w:val="top"/>
            <w:tcMar>
              <w:top w:w="70" w:type="dxa"/>
              <w:start w:w="90" w:type="dxa"/>
              <w:bottom w:w="70" w:type="dxa"/>
              <w:end w:w="90" w:type="dxa"/>
            </w:tcMar>
          </w:tcPr>
          <w:p>
            <w:pPr>
              <w:spacing w:after="0"/>
            </w:pPr>
            <w:r/>
            <w:r>
              <w:rPr>
                <w:rFonts w:ascii="Aptos" w:hAnsi="Aptos"/>
                <w:b w:val="0"/>
                <w:sz w:val="13"/>
              </w:rPr>
              <w:t>Every contract must reference an existing customer.</w:t>
            </w:r>
          </w:p>
        </w:tc>
        <w:tc>
          <w:tcPr>
            <w:tcW w:type="dxa" w:w="2232"/>
            <w:vAlign w:val="top"/>
            <w:tcMar>
              <w:top w:w="70" w:type="dxa"/>
              <w:start w:w="90" w:type="dxa"/>
              <w:bottom w:w="70" w:type="dxa"/>
              <w:end w:w="90" w:type="dxa"/>
            </w:tcMar>
          </w:tcPr>
          <w:p>
            <w:pPr>
              <w:spacing w:after="0"/>
            </w:pPr>
            <w:r/>
            <w:r>
              <w:rPr>
                <w:rFonts w:ascii="Aptos" w:hAnsi="Aptos"/>
                <w:b w:val="0"/>
                <w:sz w:val="13"/>
              </w:rPr>
              <w:t>customer_id has no match</w:t>
            </w:r>
          </w:p>
        </w:tc>
        <w:tc>
          <w:tcPr>
            <w:tcW w:type="dxa" w:w="1440"/>
            <w:vAlign w:val="top"/>
            <w:tcMar>
              <w:top w:w="70" w:type="dxa"/>
              <w:start w:w="90" w:type="dxa"/>
              <w:bottom w:w="70" w:type="dxa"/>
              <w:end w:w="90" w:type="dxa"/>
            </w:tcMar>
          </w:tcPr>
          <w:p>
            <w:pPr>
              <w:spacing w:after="0"/>
            </w:pPr>
            <w:r/>
            <w:r>
              <w:rPr>
                <w:rFonts w:ascii="Aptos" w:hAnsi="Aptos"/>
                <w:b w:val="0"/>
                <w:sz w:val="13"/>
              </w:rPr>
              <w:t>Referential Integrity</w:t>
            </w:r>
          </w:p>
        </w:tc>
        <w:tc>
          <w:tcPr>
            <w:tcW w:type="dxa" w:w="1008"/>
            <w:vAlign w:val="top"/>
            <w:tcMar>
              <w:top w:w="70" w:type="dxa"/>
              <w:start w:w="90" w:type="dxa"/>
              <w:bottom w:w="70" w:type="dxa"/>
              <w:end w:w="90" w:type="dxa"/>
            </w:tcMar>
          </w:tcPr>
          <w:p>
            <w:pPr>
              <w:spacing w:after="0"/>
            </w:pPr>
            <w:r/>
            <w:r>
              <w:rPr>
                <w:rFonts w:ascii="Aptos" w:hAnsi="Aptos"/>
                <w:b w:val="0"/>
                <w:sz w:val="13"/>
              </w:rPr>
              <w:t>Critical</w:t>
            </w:r>
          </w:p>
        </w:tc>
        <w:tc>
          <w:tcPr>
            <w:tcW w:type="dxa" w:w="2160"/>
            <w:vAlign w:val="top"/>
            <w:tcMar>
              <w:top w:w="70" w:type="dxa"/>
              <w:start w:w="90" w:type="dxa"/>
              <w:bottom w:w="70" w:type="dxa"/>
              <w:end w:w="90" w:type="dxa"/>
            </w:tcMar>
          </w:tcPr>
          <w:p>
            <w:pPr>
              <w:spacing w:after="0"/>
            </w:pPr>
            <w:r/>
            <w:r>
              <w:rPr>
                <w:rFonts w:ascii="Aptos" w:hAnsi="Aptos"/>
                <w:b w:val="0"/>
                <w:sz w:val="13"/>
              </w:rPr>
              <w:t>Correct the customer reference or investigate orphan contract.</w:t>
            </w:r>
          </w:p>
        </w:tc>
      </w:tr>
      <w:tr>
        <w:tc>
          <w:tcPr>
            <w:tcW w:type="dxa" w:w="1080"/>
            <w:vAlign w:val="top"/>
            <w:tcMar>
              <w:top w:w="70" w:type="dxa"/>
              <w:start w:w="90" w:type="dxa"/>
              <w:bottom w:w="70" w:type="dxa"/>
              <w:end w:w="90" w:type="dxa"/>
            </w:tcMar>
          </w:tcPr>
          <w:p>
            <w:pPr>
              <w:spacing w:after="0"/>
            </w:pPr>
            <w:r/>
            <w:r>
              <w:rPr>
                <w:rFonts w:ascii="Aptos" w:hAnsi="Aptos"/>
                <w:b w:val="0"/>
                <w:sz w:val="13"/>
              </w:rPr>
              <w:t>DQ-SALES-005</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silver.product_contracts</w:t>
            </w:r>
          </w:p>
        </w:tc>
        <w:tc>
          <w:tcPr>
            <w:tcW w:type="dxa" w:w="2232"/>
            <w:vAlign w:val="top"/>
            <w:tcMar>
              <w:top w:w="70" w:type="dxa"/>
              <w:start w:w="90" w:type="dxa"/>
              <w:bottom w:w="70" w:type="dxa"/>
              <w:end w:w="90" w:type="dxa"/>
            </w:tcMar>
          </w:tcPr>
          <w:p>
            <w:pPr>
              <w:spacing w:after="0"/>
            </w:pPr>
            <w:r/>
            <w:r>
              <w:rPr>
                <w:rFonts w:ascii="Aptos" w:hAnsi="Aptos"/>
                <w:b w:val="0"/>
                <w:sz w:val="13"/>
              </w:rPr>
              <w:t>Every contract must reference an existing branch.</w:t>
            </w:r>
          </w:p>
        </w:tc>
        <w:tc>
          <w:tcPr>
            <w:tcW w:type="dxa" w:w="2232"/>
            <w:vAlign w:val="top"/>
            <w:tcMar>
              <w:top w:w="70" w:type="dxa"/>
              <w:start w:w="90" w:type="dxa"/>
              <w:bottom w:w="70" w:type="dxa"/>
              <w:end w:w="90" w:type="dxa"/>
            </w:tcMar>
          </w:tcPr>
          <w:p>
            <w:pPr>
              <w:spacing w:after="0"/>
            </w:pPr>
            <w:r/>
            <w:r>
              <w:rPr>
                <w:rFonts w:ascii="Aptos" w:hAnsi="Aptos"/>
                <w:b w:val="0"/>
                <w:sz w:val="13"/>
              </w:rPr>
              <w:t>branch_id has no match</w:t>
            </w:r>
          </w:p>
        </w:tc>
        <w:tc>
          <w:tcPr>
            <w:tcW w:type="dxa" w:w="1440"/>
            <w:vAlign w:val="top"/>
            <w:tcMar>
              <w:top w:w="70" w:type="dxa"/>
              <w:start w:w="90" w:type="dxa"/>
              <w:bottom w:w="70" w:type="dxa"/>
              <w:end w:w="90" w:type="dxa"/>
            </w:tcMar>
          </w:tcPr>
          <w:p>
            <w:pPr>
              <w:spacing w:after="0"/>
            </w:pPr>
            <w:r/>
            <w:r>
              <w:rPr>
                <w:rFonts w:ascii="Aptos" w:hAnsi="Aptos"/>
                <w:b w:val="0"/>
                <w:sz w:val="13"/>
              </w:rPr>
              <w:t>Referential Integrity</w:t>
            </w:r>
          </w:p>
        </w:tc>
        <w:tc>
          <w:tcPr>
            <w:tcW w:type="dxa" w:w="1008"/>
            <w:vAlign w:val="top"/>
            <w:tcMar>
              <w:top w:w="70" w:type="dxa"/>
              <w:start w:w="90" w:type="dxa"/>
              <w:bottom w:w="70" w:type="dxa"/>
              <w:end w:w="90" w:type="dxa"/>
            </w:tcMar>
          </w:tcPr>
          <w:p>
            <w:pPr>
              <w:spacing w:after="0"/>
            </w:pPr>
            <w:r/>
            <w:r>
              <w:rPr>
                <w:rFonts w:ascii="Aptos" w:hAnsi="Aptos"/>
                <w:b w:val="0"/>
                <w:sz w:val="13"/>
              </w:rPr>
              <w:t>High</w:t>
            </w:r>
          </w:p>
        </w:tc>
        <w:tc>
          <w:tcPr>
            <w:tcW w:type="dxa" w:w="2160"/>
            <w:vAlign w:val="top"/>
            <w:tcMar>
              <w:top w:w="70" w:type="dxa"/>
              <w:start w:w="90" w:type="dxa"/>
              <w:bottom w:w="70" w:type="dxa"/>
              <w:end w:w="90" w:type="dxa"/>
            </w:tcMar>
          </w:tcPr>
          <w:p>
            <w:pPr>
              <w:spacing w:after="0"/>
            </w:pPr>
            <w:r/>
            <w:r>
              <w:rPr>
                <w:rFonts w:ascii="Aptos" w:hAnsi="Aptos"/>
                <w:b w:val="0"/>
                <w:sz w:val="13"/>
              </w:rPr>
              <w:t>Correct the branch reference or reference table.</w:t>
            </w:r>
          </w:p>
        </w:tc>
      </w:tr>
      <w:tr>
        <w:tc>
          <w:tcPr>
            <w:tcW w:type="dxa" w:w="1080"/>
            <w:vAlign w:val="top"/>
            <w:tcMar>
              <w:top w:w="70" w:type="dxa"/>
              <w:start w:w="90" w:type="dxa"/>
              <w:bottom w:w="70" w:type="dxa"/>
              <w:end w:w="90" w:type="dxa"/>
            </w:tcMar>
          </w:tcPr>
          <w:p>
            <w:pPr>
              <w:spacing w:after="0"/>
            </w:pPr>
            <w:r/>
            <w:r>
              <w:rPr>
                <w:rFonts w:ascii="Aptos" w:hAnsi="Aptos"/>
                <w:b w:val="0"/>
                <w:sz w:val="13"/>
              </w:rPr>
              <w:t>DQ-SALES-006</w:t>
            </w:r>
          </w:p>
        </w:tc>
        <w:tc>
          <w:tcPr>
            <w:tcW w:type="dxa" w:w="1296"/>
            <w:vAlign w:val="top"/>
            <w:tcMar>
              <w:top w:w="70" w:type="dxa"/>
              <w:start w:w="90" w:type="dxa"/>
              <w:bottom w:w="70" w:type="dxa"/>
              <w:end w:w="90" w:type="dxa"/>
            </w:tcMar>
          </w:tcPr>
          <w:p>
            <w:pPr>
              <w:spacing w:after="0"/>
            </w:pPr>
            <w:r/>
            <w:r>
              <w:rPr>
                <w:rFonts w:ascii="Aptos" w:hAnsi="Aptos"/>
                <w:b w:val="0"/>
                <w:sz w:val="13"/>
              </w:rPr>
              <w:t>Sales Reporting</w:t>
            </w:r>
          </w:p>
        </w:tc>
        <w:tc>
          <w:tcPr>
            <w:tcW w:type="dxa" w:w="1872"/>
            <w:vAlign w:val="top"/>
            <w:tcMar>
              <w:top w:w="70" w:type="dxa"/>
              <w:start w:w="90" w:type="dxa"/>
              <w:bottom w:w="70" w:type="dxa"/>
              <w:end w:w="90" w:type="dxa"/>
            </w:tcMar>
          </w:tcPr>
          <w:p>
            <w:pPr>
              <w:spacing w:after="0"/>
            </w:pPr>
            <w:r/>
            <w:r>
              <w:rPr>
                <w:rFonts w:ascii="Aptos" w:hAnsi="Aptos"/>
                <w:b w:val="0"/>
                <w:sz w:val="13"/>
              </w:rPr>
              <w:t>gold.fct_banking_product_sales</w:t>
            </w:r>
          </w:p>
        </w:tc>
        <w:tc>
          <w:tcPr>
            <w:tcW w:type="dxa" w:w="2232"/>
            <w:vAlign w:val="top"/>
            <w:tcMar>
              <w:top w:w="70" w:type="dxa"/>
              <w:start w:w="90" w:type="dxa"/>
              <w:bottom w:w="70" w:type="dxa"/>
              <w:end w:w="90" w:type="dxa"/>
            </w:tcMar>
          </w:tcPr>
          <w:p>
            <w:pPr>
              <w:spacing w:after="0"/>
            </w:pPr>
            <w:r/>
            <w:r>
              <w:rPr>
                <w:rFonts w:ascii="Aptos" w:hAnsi="Aptos"/>
                <w:b w:val="0"/>
                <w:sz w:val="13"/>
              </w:rPr>
              <w:t>Cancelled contracts must not be counted as governed sales.</w:t>
            </w:r>
          </w:p>
        </w:tc>
        <w:tc>
          <w:tcPr>
            <w:tcW w:type="dxa" w:w="2232"/>
            <w:vAlign w:val="top"/>
            <w:tcMar>
              <w:top w:w="70" w:type="dxa"/>
              <w:start w:w="90" w:type="dxa"/>
              <w:bottom w:w="70" w:type="dxa"/>
              <w:end w:w="90" w:type="dxa"/>
            </w:tcMar>
          </w:tcPr>
          <w:p>
            <w:pPr>
              <w:spacing w:after="0"/>
            </w:pPr>
            <w:r/>
            <w:r>
              <w:rPr>
                <w:rFonts w:ascii="Aptos" w:hAnsi="Aptos"/>
                <w:b w:val="0"/>
                <w:sz w:val="13"/>
              </w:rPr>
              <w:t>contract_status = Cancelled AND is_governed_sale = TRUE</w:t>
            </w:r>
          </w:p>
        </w:tc>
        <w:tc>
          <w:tcPr>
            <w:tcW w:type="dxa" w:w="1440"/>
            <w:vAlign w:val="top"/>
            <w:tcMar>
              <w:top w:w="70" w:type="dxa"/>
              <w:start w:w="90" w:type="dxa"/>
              <w:bottom w:w="70" w:type="dxa"/>
              <w:end w:w="90" w:type="dxa"/>
            </w:tcMar>
          </w:tcPr>
          <w:p>
            <w:pPr>
              <w:spacing w:after="0"/>
            </w:pPr>
            <w:r/>
            <w:r>
              <w:rPr>
                <w:rFonts w:ascii="Aptos" w:hAnsi="Aptos"/>
                <w:b w:val="0"/>
                <w:sz w:val="13"/>
              </w:rPr>
              <w:t>Validity</w:t>
            </w:r>
          </w:p>
        </w:tc>
        <w:tc>
          <w:tcPr>
            <w:tcW w:type="dxa" w:w="1008"/>
            <w:vAlign w:val="top"/>
            <w:tcMar>
              <w:top w:w="70" w:type="dxa"/>
              <w:start w:w="90" w:type="dxa"/>
              <w:bottom w:w="70" w:type="dxa"/>
              <w:end w:w="90" w:type="dxa"/>
            </w:tcMar>
          </w:tcPr>
          <w:p>
            <w:pPr>
              <w:spacing w:after="0"/>
            </w:pPr>
            <w:r/>
            <w:r>
              <w:rPr>
                <w:rFonts w:ascii="Aptos" w:hAnsi="Aptos"/>
                <w:b w:val="0"/>
                <w:sz w:val="13"/>
              </w:rPr>
              <w:t>Critical</w:t>
            </w:r>
          </w:p>
        </w:tc>
        <w:tc>
          <w:tcPr>
            <w:tcW w:type="dxa" w:w="2160"/>
            <w:vAlign w:val="top"/>
            <w:tcMar>
              <w:top w:w="70" w:type="dxa"/>
              <w:start w:w="90" w:type="dxa"/>
              <w:bottom w:w="70" w:type="dxa"/>
              <w:end w:w="90" w:type="dxa"/>
            </w:tcMar>
          </w:tcPr>
          <w:p>
            <w:pPr>
              <w:spacing w:after="0"/>
            </w:pPr>
            <w:r/>
            <w:r>
              <w:rPr>
                <w:rFonts w:ascii="Aptos" w:hAnsi="Aptos"/>
                <w:b w:val="0"/>
                <w:sz w:val="13"/>
              </w:rPr>
              <w:t>Correct governed-sale calculation immediately.</w:t>
            </w:r>
          </w:p>
        </w:tc>
      </w:tr>
    </w:tbl>
    <w:p>
      <w:pPr>
        <w:spacing w:after="0"/>
      </w:pPr>
    </w:p>
    <w:p>
      <w:pPr>
        <w:pStyle w:val="Heading2"/>
        <w:keepNext/>
        <w:spacing w:before="200" w:after="80"/>
      </w:pPr>
      <w:r>
        <w:t>8.1 Expected Demonstration Results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Observation</w:t>
            </w:r>
          </w:p>
        </w:tc>
        <w:tc>
          <w:tcPr>
            <w:tcW w:type="dxa" w:w="1800"/>
            <w:shd w:fill="1F4E78"/>
            <w:vAlign w:val="center"/>
            <w:tcMar>
              <w:top w:w="70" w:type="dxa"/>
              <w:start w:w="90" w:type="dxa"/>
              <w:bottom w:w="70" w:type="dxa"/>
              <w:end w:w="90" w:type="dxa"/>
            </w:tcMar>
          </w:tcPr>
          <w:p>
            <w:pPr>
              <w:spacing w:after="0"/>
            </w:pPr>
            <w:r/>
            <w:r>
              <w:rPr>
                <w:rFonts w:ascii="Aptos" w:hAnsi="Aptos"/>
                <w:b/>
                <w:color w:val="FFFFFF"/>
                <w:sz w:val="17"/>
              </w:rPr>
              <w:t>Expected value</w:t>
            </w:r>
          </w:p>
        </w:tc>
        <w:tc>
          <w:tcPr>
            <w:tcW w:type="dxa" w:w="6048"/>
            <w:shd w:fill="1F4E78"/>
            <w:vAlign w:val="center"/>
            <w:tcMar>
              <w:top w:w="70" w:type="dxa"/>
              <w:start w:w="90" w:type="dxa"/>
              <w:bottom w:w="70" w:type="dxa"/>
              <w:end w:w="90" w:type="dxa"/>
            </w:tcMar>
          </w:tcPr>
          <w:p>
            <w:pPr>
              <w:spacing w:after="0"/>
            </w:pPr>
            <w:r/>
            <w:r>
              <w:rPr>
                <w:rFonts w:ascii="Aptos" w:hAnsi="Aptos"/>
                <w:b/>
                <w:color w:val="FFFFFF"/>
                <w:sz w:val="17"/>
              </w:rPr>
              <w:t>Interpretation</w:t>
            </w:r>
          </w:p>
        </w:tc>
      </w:tr>
      <w:tr>
        <w:tc>
          <w:tcPr>
            <w:tcW w:type="dxa" w:w="2880"/>
            <w:vAlign w:val="top"/>
            <w:tcMar>
              <w:top w:w="70" w:type="dxa"/>
              <w:start w:w="90" w:type="dxa"/>
              <w:bottom w:w="70" w:type="dxa"/>
              <w:end w:w="90" w:type="dxa"/>
            </w:tcMar>
          </w:tcPr>
          <w:p>
            <w:pPr>
              <w:spacing w:after="0"/>
            </w:pPr>
            <w:r/>
            <w:r>
              <w:rPr>
                <w:rFonts w:ascii="Aptos" w:hAnsi="Aptos"/>
                <w:b w:val="0"/>
                <w:sz w:val="17"/>
              </w:rPr>
              <w:t>CRM rows</w:t>
            </w:r>
          </w:p>
        </w:tc>
        <w:tc>
          <w:tcPr>
            <w:tcW w:type="dxa" w:w="1800"/>
            <w:vAlign w:val="top"/>
            <w:tcMar>
              <w:top w:w="70" w:type="dxa"/>
              <w:start w:w="90" w:type="dxa"/>
              <w:bottom w:w="70" w:type="dxa"/>
              <w:end w:w="90" w:type="dxa"/>
            </w:tcMar>
          </w:tcPr>
          <w:p>
            <w:pPr>
              <w:spacing w:after="0"/>
            </w:pPr>
            <w:r/>
            <w:r>
              <w:rPr>
                <w:rFonts w:ascii="Aptos" w:hAnsi="Aptos"/>
                <w:b w:val="0"/>
                <w:sz w:val="17"/>
              </w:rPr>
              <w:t>105</w:t>
            </w:r>
          </w:p>
        </w:tc>
        <w:tc>
          <w:tcPr>
            <w:tcW w:type="dxa" w:w="6048"/>
            <w:vAlign w:val="top"/>
            <w:tcMar>
              <w:top w:w="70" w:type="dxa"/>
              <w:start w:w="90" w:type="dxa"/>
              <w:bottom w:w="70" w:type="dxa"/>
              <w:end w:w="90" w:type="dxa"/>
            </w:tcMar>
          </w:tcPr>
          <w:p>
            <w:pPr>
              <w:spacing w:after="0"/>
            </w:pPr>
            <w:r/>
            <w:r>
              <w:rPr>
                <w:rFonts w:ascii="Aptos" w:hAnsi="Aptos"/>
                <w:b w:val="0"/>
                <w:sz w:val="17"/>
              </w:rPr>
              <w:t>100 base CRM entities plus 5 deliberate duplicate rows.</w:t>
            </w:r>
          </w:p>
        </w:tc>
      </w:tr>
      <w:tr>
        <w:tc>
          <w:tcPr>
            <w:tcW w:type="dxa" w:w="2880"/>
            <w:vAlign w:val="top"/>
            <w:tcMar>
              <w:top w:w="70" w:type="dxa"/>
              <w:start w:w="90" w:type="dxa"/>
              <w:bottom w:w="70" w:type="dxa"/>
              <w:end w:w="90" w:type="dxa"/>
            </w:tcMar>
          </w:tcPr>
          <w:p>
            <w:pPr>
              <w:spacing w:after="0"/>
            </w:pPr>
            <w:r/>
            <w:r>
              <w:rPr>
                <w:rFonts w:ascii="Aptos" w:hAnsi="Aptos"/>
                <w:b w:val="0"/>
                <w:sz w:val="17"/>
              </w:rPr>
              <w:t>Product contract rows in Bronze/Silver</w:t>
            </w:r>
          </w:p>
        </w:tc>
        <w:tc>
          <w:tcPr>
            <w:tcW w:type="dxa" w:w="1800"/>
            <w:vAlign w:val="top"/>
            <w:tcMar>
              <w:top w:w="70" w:type="dxa"/>
              <w:start w:w="90" w:type="dxa"/>
              <w:bottom w:w="70" w:type="dxa"/>
              <w:end w:w="90" w:type="dxa"/>
            </w:tcMar>
          </w:tcPr>
          <w:p>
            <w:pPr>
              <w:spacing w:after="0"/>
            </w:pPr>
            <w:r/>
            <w:r>
              <w:rPr>
                <w:rFonts w:ascii="Aptos" w:hAnsi="Aptos"/>
                <w:b w:val="0"/>
                <w:sz w:val="17"/>
              </w:rPr>
              <w:t>1,025</w:t>
            </w:r>
          </w:p>
        </w:tc>
        <w:tc>
          <w:tcPr>
            <w:tcW w:type="dxa" w:w="6048"/>
            <w:vAlign w:val="top"/>
            <w:tcMar>
              <w:top w:w="70" w:type="dxa"/>
              <w:start w:w="90" w:type="dxa"/>
              <w:bottom w:w="70" w:type="dxa"/>
              <w:end w:w="90" w:type="dxa"/>
            </w:tcMar>
          </w:tcPr>
          <w:p>
            <w:pPr>
              <w:spacing w:after="0"/>
            </w:pPr>
            <w:r/>
            <w:r>
              <w:rPr>
                <w:rFonts w:ascii="Aptos" w:hAnsi="Aptos"/>
                <w:b w:val="0"/>
                <w:sz w:val="17"/>
              </w:rPr>
              <w:t>1,000 base contracts plus 25 deliberate duplicate rows.</w:t>
            </w:r>
          </w:p>
        </w:tc>
      </w:tr>
      <w:tr>
        <w:tc>
          <w:tcPr>
            <w:tcW w:type="dxa" w:w="2880"/>
            <w:vAlign w:val="top"/>
            <w:tcMar>
              <w:top w:w="70" w:type="dxa"/>
              <w:start w:w="90" w:type="dxa"/>
              <w:bottom w:w="70" w:type="dxa"/>
              <w:end w:w="90" w:type="dxa"/>
            </w:tcMar>
          </w:tcPr>
          <w:p>
            <w:pPr>
              <w:spacing w:after="0"/>
            </w:pPr>
            <w:r/>
            <w:r>
              <w:rPr>
                <w:rFonts w:ascii="Aptos" w:hAnsi="Aptos"/>
                <w:b w:val="0"/>
                <w:sz w:val="17"/>
              </w:rPr>
              <w:t>Unique contracts in Gold fact</w:t>
            </w:r>
          </w:p>
        </w:tc>
        <w:tc>
          <w:tcPr>
            <w:tcW w:type="dxa" w:w="1800"/>
            <w:vAlign w:val="top"/>
            <w:tcMar>
              <w:top w:w="70" w:type="dxa"/>
              <w:start w:w="90" w:type="dxa"/>
              <w:bottom w:w="70" w:type="dxa"/>
              <w:end w:w="90" w:type="dxa"/>
            </w:tcMar>
          </w:tcPr>
          <w:p>
            <w:pPr>
              <w:spacing w:after="0"/>
            </w:pPr>
            <w:r/>
            <w:r>
              <w:rPr>
                <w:rFonts w:ascii="Aptos" w:hAnsi="Aptos"/>
                <w:b w:val="0"/>
                <w:sz w:val="17"/>
              </w:rPr>
              <w:t>1,000</w:t>
            </w:r>
          </w:p>
        </w:tc>
        <w:tc>
          <w:tcPr>
            <w:tcW w:type="dxa" w:w="6048"/>
            <w:vAlign w:val="top"/>
            <w:tcMar>
              <w:top w:w="70" w:type="dxa"/>
              <w:start w:w="90" w:type="dxa"/>
              <w:bottom w:w="70" w:type="dxa"/>
              <w:end w:w="90" w:type="dxa"/>
            </w:tcMar>
          </w:tcPr>
          <w:p>
            <w:pPr>
              <w:spacing w:after="0"/>
            </w:pPr>
            <w:r/>
            <w:r>
              <w:rPr>
                <w:rFonts w:ascii="Aptos" w:hAnsi="Aptos"/>
                <w:b w:val="0"/>
                <w:sz w:val="17"/>
              </w:rPr>
              <w:t>Duplicates removed before governed reporting.</w:t>
            </w:r>
          </w:p>
        </w:tc>
      </w:tr>
      <w:tr>
        <w:tc>
          <w:tcPr>
            <w:tcW w:type="dxa" w:w="2880"/>
            <w:vAlign w:val="top"/>
            <w:tcMar>
              <w:top w:w="70" w:type="dxa"/>
              <w:start w:w="90" w:type="dxa"/>
              <w:bottom w:w="70" w:type="dxa"/>
              <w:end w:w="90" w:type="dxa"/>
            </w:tcMar>
          </w:tcPr>
          <w:p>
            <w:pPr>
              <w:spacing w:after="0"/>
            </w:pPr>
            <w:r/>
            <w:r>
              <w:rPr>
                <w:rFonts w:ascii="Aptos" w:hAnsi="Aptos"/>
                <w:b w:val="0"/>
                <w:sz w:val="17"/>
              </w:rPr>
              <w:t>Trusted Golden Records</w:t>
            </w:r>
          </w:p>
        </w:tc>
        <w:tc>
          <w:tcPr>
            <w:tcW w:type="dxa" w:w="1800"/>
            <w:vAlign w:val="top"/>
            <w:tcMar>
              <w:top w:w="70" w:type="dxa"/>
              <w:start w:w="90" w:type="dxa"/>
              <w:bottom w:w="70" w:type="dxa"/>
              <w:end w:w="90" w:type="dxa"/>
            </w:tcMar>
          </w:tcPr>
          <w:p>
            <w:pPr>
              <w:spacing w:after="0"/>
            </w:pPr>
            <w:r/>
            <w:r>
              <w:rPr>
                <w:rFonts w:ascii="Aptos" w:hAnsi="Aptos"/>
                <w:b w:val="0"/>
                <w:sz w:val="17"/>
              </w:rPr>
              <w:t>98</w:t>
            </w:r>
          </w:p>
        </w:tc>
        <w:tc>
          <w:tcPr>
            <w:tcW w:type="dxa" w:w="6048"/>
            <w:vAlign w:val="top"/>
            <w:tcMar>
              <w:top w:w="70" w:type="dxa"/>
              <w:start w:w="90" w:type="dxa"/>
              <w:bottom w:w="70" w:type="dxa"/>
              <w:end w:w="90" w:type="dxa"/>
            </w:tcMar>
          </w:tcPr>
          <w:p>
            <w:pPr>
              <w:spacing w:after="0"/>
            </w:pPr>
            <w:r/>
            <w:r>
              <w:rPr>
                <w:rFonts w:ascii="Aptos" w:hAnsi="Aptos"/>
                <w:b w:val="0"/>
                <w:sz w:val="17"/>
              </w:rPr>
              <w:t>Two registry records excluded because country_code is invalid.</w:t>
            </w:r>
          </w:p>
        </w:tc>
      </w:tr>
      <w:tr>
        <w:tc>
          <w:tcPr>
            <w:tcW w:type="dxa" w:w="2880"/>
            <w:vAlign w:val="top"/>
            <w:tcMar>
              <w:top w:w="70" w:type="dxa"/>
              <w:start w:w="90" w:type="dxa"/>
              <w:bottom w:w="70" w:type="dxa"/>
              <w:end w:w="90" w:type="dxa"/>
            </w:tcMar>
          </w:tcPr>
          <w:p>
            <w:pPr>
              <w:spacing w:after="0"/>
            </w:pPr>
            <w:r/>
            <w:r>
              <w:rPr>
                <w:rFonts w:ascii="Aptos" w:hAnsi="Aptos"/>
                <w:b w:val="0"/>
                <w:sz w:val="17"/>
              </w:rPr>
              <w:t>Uniqueness issue observations</w:t>
            </w:r>
          </w:p>
        </w:tc>
        <w:tc>
          <w:tcPr>
            <w:tcW w:type="dxa" w:w="1800"/>
            <w:vAlign w:val="top"/>
            <w:tcMar>
              <w:top w:w="70" w:type="dxa"/>
              <w:start w:w="90" w:type="dxa"/>
              <w:bottom w:w="70" w:type="dxa"/>
              <w:end w:w="90" w:type="dxa"/>
            </w:tcMar>
          </w:tcPr>
          <w:p>
            <w:pPr>
              <w:spacing w:after="0"/>
            </w:pPr>
            <w:r/>
            <w:r>
              <w:rPr>
                <w:rFonts w:ascii="Aptos" w:hAnsi="Aptos"/>
                <w:b w:val="0"/>
                <w:sz w:val="17"/>
              </w:rPr>
              <w:t>30</w:t>
            </w:r>
          </w:p>
        </w:tc>
        <w:tc>
          <w:tcPr>
            <w:tcW w:type="dxa" w:w="6048"/>
            <w:vAlign w:val="top"/>
            <w:tcMar>
              <w:top w:w="70" w:type="dxa"/>
              <w:start w:w="90" w:type="dxa"/>
              <w:bottom w:w="70" w:type="dxa"/>
              <w:end w:w="90" w:type="dxa"/>
            </w:tcMar>
          </w:tcPr>
          <w:p>
            <w:pPr>
              <w:spacing w:after="0"/>
            </w:pPr>
            <w:r/>
            <w:r>
              <w:rPr>
                <w:rFonts w:ascii="Aptos" w:hAnsi="Aptos"/>
                <w:b w:val="0"/>
                <w:sz w:val="17"/>
              </w:rPr>
              <w:t>5 duplicate CRM registry-code rows plus 25 duplicate contracts.</w:t>
            </w:r>
          </w:p>
        </w:tc>
      </w:tr>
      <w:tr>
        <w:tc>
          <w:tcPr>
            <w:tcW w:type="dxa" w:w="2880"/>
            <w:vAlign w:val="top"/>
            <w:tcMar>
              <w:top w:w="70" w:type="dxa"/>
              <w:start w:w="90" w:type="dxa"/>
              <w:bottom w:w="70" w:type="dxa"/>
              <w:end w:w="90" w:type="dxa"/>
            </w:tcMar>
          </w:tcPr>
          <w:p>
            <w:pPr>
              <w:spacing w:after="0"/>
            </w:pPr>
            <w:r/>
            <w:r>
              <w:rPr>
                <w:rFonts w:ascii="Aptos" w:hAnsi="Aptos"/>
                <w:b w:val="0"/>
                <w:sz w:val="17"/>
              </w:rPr>
              <w:t>DQ rules</w:t>
            </w:r>
          </w:p>
        </w:tc>
        <w:tc>
          <w:tcPr>
            <w:tcW w:type="dxa" w:w="1800"/>
            <w:vAlign w:val="top"/>
            <w:tcMar>
              <w:top w:w="70" w:type="dxa"/>
              <w:start w:w="90" w:type="dxa"/>
              <w:bottom w:w="70" w:type="dxa"/>
              <w:end w:w="90" w:type="dxa"/>
            </w:tcMar>
          </w:tcPr>
          <w:p>
            <w:pPr>
              <w:spacing w:after="0"/>
            </w:pPr>
            <w:r/>
            <w:r>
              <w:rPr>
                <w:rFonts w:ascii="Aptos" w:hAnsi="Aptos"/>
                <w:b w:val="0"/>
                <w:sz w:val="17"/>
              </w:rPr>
              <w:t>12</w:t>
            </w:r>
          </w:p>
        </w:tc>
        <w:tc>
          <w:tcPr>
            <w:tcW w:type="dxa" w:w="6048"/>
            <w:vAlign w:val="top"/>
            <w:tcMar>
              <w:top w:w="70" w:type="dxa"/>
              <w:start w:w="90" w:type="dxa"/>
              <w:bottom w:w="70" w:type="dxa"/>
              <w:end w:w="90" w:type="dxa"/>
            </w:tcMar>
          </w:tcPr>
          <w:p>
            <w:pPr>
              <w:spacing w:after="0"/>
            </w:pPr>
            <w:r/>
            <w:r>
              <w:rPr>
                <w:rFonts w:ascii="Aptos" w:hAnsi="Aptos"/>
                <w:b w:val="0"/>
                <w:sz w:val="17"/>
              </w:rPr>
              <w:t>Six Legal Entity and six Sales Reporting rules.</w:t>
            </w:r>
          </w:p>
        </w:tc>
      </w:tr>
      <w:tr>
        <w:tc>
          <w:tcPr>
            <w:tcW w:type="dxa" w:w="2880"/>
            <w:vAlign w:val="top"/>
            <w:tcMar>
              <w:top w:w="70" w:type="dxa"/>
              <w:start w:w="90" w:type="dxa"/>
              <w:bottom w:w="70" w:type="dxa"/>
              <w:end w:w="90" w:type="dxa"/>
            </w:tcMar>
          </w:tcPr>
          <w:p>
            <w:pPr>
              <w:spacing w:after="0"/>
            </w:pPr>
            <w:r/>
            <w:r>
              <w:rPr>
                <w:rFonts w:ascii="Aptos" w:hAnsi="Aptos"/>
                <w:b w:val="0"/>
                <w:sz w:val="17"/>
              </w:rPr>
              <w:t>Governed contracts</w:t>
            </w:r>
          </w:p>
        </w:tc>
        <w:tc>
          <w:tcPr>
            <w:tcW w:type="dxa" w:w="1800"/>
            <w:vAlign w:val="top"/>
            <w:tcMar>
              <w:top w:w="70" w:type="dxa"/>
              <w:start w:w="90" w:type="dxa"/>
              <w:bottom w:w="70" w:type="dxa"/>
              <w:end w:w="90" w:type="dxa"/>
            </w:tcMar>
          </w:tcPr>
          <w:p>
            <w:pPr>
              <w:spacing w:after="0"/>
            </w:pPr>
            <w:r/>
            <w:r>
              <w:rPr>
                <w:rFonts w:ascii="Aptos" w:hAnsi="Aptos"/>
                <w:b w:val="0"/>
                <w:sz w:val="17"/>
              </w:rPr>
              <w:t>724 in the current synthetic run</w:t>
            </w:r>
          </w:p>
        </w:tc>
        <w:tc>
          <w:tcPr>
            <w:tcW w:type="dxa" w:w="6048"/>
            <w:vAlign w:val="top"/>
            <w:tcMar>
              <w:top w:w="70" w:type="dxa"/>
              <w:start w:w="90" w:type="dxa"/>
              <w:bottom w:w="70" w:type="dxa"/>
              <w:end w:w="90" w:type="dxa"/>
            </w:tcMar>
          </w:tcPr>
          <w:p>
            <w:pPr>
              <w:spacing w:after="0"/>
            </w:pPr>
            <w:r/>
            <w:r>
              <w:rPr>
                <w:rFonts w:ascii="Aptos" w:hAnsi="Aptos"/>
                <w:b w:val="0"/>
                <w:sz w:val="17"/>
              </w:rPr>
              <w:t>Unique contracts meeting the approved governed-sale definition.</w:t>
            </w:r>
          </w:p>
        </w:tc>
      </w:tr>
      <w:tr>
        <w:tc>
          <w:tcPr>
            <w:tcW w:type="dxa" w:w="2880"/>
            <w:vAlign w:val="top"/>
            <w:tcMar>
              <w:top w:w="70" w:type="dxa"/>
              <w:start w:w="90" w:type="dxa"/>
              <w:bottom w:w="70" w:type="dxa"/>
              <w:end w:w="90" w:type="dxa"/>
            </w:tcMar>
          </w:tcPr>
          <w:p>
            <w:pPr>
              <w:spacing w:after="0"/>
            </w:pPr>
            <w:r/>
            <w:r>
              <w:rPr>
                <w:rFonts w:ascii="Aptos" w:hAnsi="Aptos"/>
                <w:b w:val="0"/>
                <w:sz w:val="17"/>
              </w:rPr>
              <w:t>Excluded contracts</w:t>
            </w:r>
          </w:p>
        </w:tc>
        <w:tc>
          <w:tcPr>
            <w:tcW w:type="dxa" w:w="1800"/>
            <w:vAlign w:val="top"/>
            <w:tcMar>
              <w:top w:w="70" w:type="dxa"/>
              <w:start w:w="90" w:type="dxa"/>
              <w:bottom w:w="70" w:type="dxa"/>
              <w:end w:w="90" w:type="dxa"/>
            </w:tcMar>
          </w:tcPr>
          <w:p>
            <w:pPr>
              <w:spacing w:after="0"/>
            </w:pPr>
            <w:r/>
            <w:r>
              <w:rPr>
                <w:rFonts w:ascii="Aptos" w:hAnsi="Aptos"/>
                <w:b w:val="0"/>
                <w:sz w:val="17"/>
              </w:rPr>
              <w:t>276 in the current synthetic run</w:t>
            </w:r>
          </w:p>
        </w:tc>
        <w:tc>
          <w:tcPr>
            <w:tcW w:type="dxa" w:w="6048"/>
            <w:vAlign w:val="top"/>
            <w:tcMar>
              <w:top w:w="70" w:type="dxa"/>
              <w:start w:w="90" w:type="dxa"/>
              <w:bottom w:w="70" w:type="dxa"/>
              <w:end w:w="90" w:type="dxa"/>
            </w:tcMar>
          </w:tcPr>
          <w:p>
            <w:pPr>
              <w:spacing w:after="0"/>
            </w:pPr>
            <w:r/>
            <w:r>
              <w:rPr>
                <w:rFonts w:ascii="Aptos" w:hAnsi="Aptos"/>
                <w:b w:val="0"/>
                <w:sz w:val="17"/>
              </w:rPr>
              <w:t>Unique contracts that do not meet the governed-sale definition.</w:t>
            </w:r>
          </w:p>
        </w:tc>
      </w:tr>
    </w:tbl>
    <w:p>
      <w:pPr>
        <w:spacing w:after="0"/>
      </w:pPr>
    </w:p>
    <w:p>
      <w:pPr>
        <w:pStyle w:val="Heading1"/>
        <w:keepNext/>
        <w:spacing w:before="200" w:after="80"/>
      </w:pPr>
      <w:r>
        <w:t>9. Reporting Requirements</w:t>
      </w:r>
    </w:p>
    <w:p>
      <w:pPr>
        <w:pStyle w:val="Heading2"/>
        <w:keepNext/>
        <w:spacing w:before="200" w:after="80"/>
      </w:pPr>
      <w:r>
        <w:t>9.1 Data Quality Report</w:t>
      </w:r>
    </w:p>
    <w:p>
      <w:pPr>
        <w:spacing w:after="120" w:line="259" w:lineRule="auto"/>
      </w:pPr>
      <w:r>
        <w:rPr>
          <w:sz w:val="21"/>
        </w:rPr>
        <w:t>Primary audience: Data Stewards, Data Owners, Governance teams and Business Analysts.</w:t>
      </w:r>
    </w:p>
    <w:p>
      <w:pPr>
        <w:spacing w:after="120" w:line="259" w:lineRule="auto"/>
      </w:pPr>
      <w:r>
        <w:rPr>
          <w:sz w:val="21"/>
        </w:rPr>
        <w:t>Purpose: identify which rules failed, how many issue observations were detected, which business domain and DQ dimension are most affected, and which issues require priority remediation.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376"/>
            <w:shd w:fill="1F4E78"/>
            <w:vAlign w:val="center"/>
            <w:tcMar>
              <w:top w:w="70" w:type="dxa"/>
              <w:start w:w="90" w:type="dxa"/>
              <w:bottom w:w="70" w:type="dxa"/>
              <w:end w:w="90" w:type="dxa"/>
            </w:tcMar>
          </w:tcPr>
          <w:p>
            <w:pPr>
              <w:spacing w:after="0"/>
            </w:pPr>
            <w:r/>
            <w:r>
              <w:rPr>
                <w:rFonts w:ascii="Aptos" w:hAnsi="Aptos"/>
                <w:b/>
                <w:color w:val="FFFFFF"/>
                <w:sz w:val="17"/>
              </w:rPr>
              <w:t>KPI / visual</w:t>
            </w:r>
          </w:p>
        </w:tc>
        <w:tc>
          <w:tcPr>
            <w:tcW w:type="dxa" w:w="4752"/>
            <w:shd w:fill="1F4E78"/>
            <w:vAlign w:val="center"/>
            <w:tcMar>
              <w:top w:w="70" w:type="dxa"/>
              <w:start w:w="90" w:type="dxa"/>
              <w:bottom w:w="70" w:type="dxa"/>
              <w:end w:w="90" w:type="dxa"/>
            </w:tcMar>
          </w:tcPr>
          <w:p>
            <w:pPr>
              <w:spacing w:after="0"/>
            </w:pPr>
            <w:r/>
            <w:r>
              <w:rPr>
                <w:rFonts w:ascii="Aptos" w:hAnsi="Aptos"/>
                <w:b/>
                <w:color w:val="FFFFFF"/>
                <w:sz w:val="17"/>
              </w:rPr>
              <w:t>Definition</w:t>
            </w:r>
          </w:p>
        </w:tc>
        <w:tc>
          <w:tcPr>
            <w:tcW w:type="dxa" w:w="3456"/>
            <w:shd w:fill="1F4E78"/>
            <w:vAlign w:val="center"/>
            <w:tcMar>
              <w:top w:w="70" w:type="dxa"/>
              <w:start w:w="90" w:type="dxa"/>
              <w:bottom w:w="70" w:type="dxa"/>
              <w:end w:w="90" w:type="dxa"/>
            </w:tcMar>
          </w:tcPr>
          <w:p>
            <w:pPr>
              <w:spacing w:after="0"/>
            </w:pPr>
            <w:r/>
            <w:r>
              <w:rPr>
                <w:rFonts w:ascii="Aptos" w:hAnsi="Aptos"/>
                <w:b/>
                <w:color w:val="FFFFFF"/>
                <w:sz w:val="17"/>
              </w:rPr>
              <w:t>Business question</w:t>
            </w:r>
          </w:p>
        </w:tc>
      </w:tr>
      <w:tr>
        <w:tc>
          <w:tcPr>
            <w:tcW w:type="dxa" w:w="2376"/>
            <w:vAlign w:val="top"/>
            <w:tcMar>
              <w:top w:w="70" w:type="dxa"/>
              <w:start w:w="90" w:type="dxa"/>
              <w:bottom w:w="70" w:type="dxa"/>
              <w:end w:w="90" w:type="dxa"/>
            </w:tcMar>
          </w:tcPr>
          <w:p>
            <w:pPr>
              <w:spacing w:after="0"/>
            </w:pPr>
            <w:r/>
            <w:r>
              <w:rPr>
                <w:rFonts w:ascii="Aptos" w:hAnsi="Aptos"/>
                <w:b w:val="0"/>
                <w:sz w:val="15"/>
              </w:rPr>
              <w:t>Failed Rules</w:t>
            </w:r>
          </w:p>
        </w:tc>
        <w:tc>
          <w:tcPr>
            <w:tcW w:type="dxa" w:w="4752"/>
            <w:vAlign w:val="top"/>
            <w:tcMar>
              <w:top w:w="70" w:type="dxa"/>
              <w:start w:w="90" w:type="dxa"/>
              <w:bottom w:w="70" w:type="dxa"/>
              <w:end w:w="90" w:type="dxa"/>
            </w:tcMar>
          </w:tcPr>
          <w:p>
            <w:pPr>
              <w:spacing w:after="0"/>
            </w:pPr>
            <w:r/>
            <w:r>
              <w:rPr>
                <w:rFonts w:ascii="Aptos" w:hAnsi="Aptos"/>
                <w:b w:val="0"/>
                <w:sz w:val="15"/>
              </w:rPr>
              <w:t>Count of rules where rule_status = Failed.</w:t>
            </w:r>
          </w:p>
        </w:tc>
        <w:tc>
          <w:tcPr>
            <w:tcW w:type="dxa" w:w="3456"/>
            <w:vAlign w:val="top"/>
            <w:tcMar>
              <w:top w:w="70" w:type="dxa"/>
              <w:start w:w="90" w:type="dxa"/>
              <w:bottom w:w="70" w:type="dxa"/>
              <w:end w:w="90" w:type="dxa"/>
            </w:tcMar>
          </w:tcPr>
          <w:p>
            <w:pPr>
              <w:spacing w:after="0"/>
            </w:pPr>
            <w:r/>
            <w:r>
              <w:rPr>
                <w:rFonts w:ascii="Aptos" w:hAnsi="Aptos"/>
                <w:b w:val="0"/>
                <w:sz w:val="15"/>
              </w:rPr>
              <w:t>How many controls currently fail?</w:t>
            </w:r>
          </w:p>
        </w:tc>
      </w:tr>
      <w:tr>
        <w:tc>
          <w:tcPr>
            <w:tcW w:type="dxa" w:w="2376"/>
            <w:vAlign w:val="top"/>
            <w:tcMar>
              <w:top w:w="70" w:type="dxa"/>
              <w:start w:w="90" w:type="dxa"/>
              <w:bottom w:w="70" w:type="dxa"/>
              <w:end w:w="90" w:type="dxa"/>
            </w:tcMar>
          </w:tcPr>
          <w:p>
            <w:pPr>
              <w:spacing w:after="0"/>
            </w:pPr>
            <w:r/>
            <w:r>
              <w:rPr>
                <w:rFonts w:ascii="Aptos" w:hAnsi="Aptos"/>
                <w:b w:val="0"/>
                <w:sz w:val="15"/>
              </w:rPr>
              <w:t>Passed Rules</w:t>
            </w:r>
          </w:p>
        </w:tc>
        <w:tc>
          <w:tcPr>
            <w:tcW w:type="dxa" w:w="4752"/>
            <w:vAlign w:val="top"/>
            <w:tcMar>
              <w:top w:w="70" w:type="dxa"/>
              <w:start w:w="90" w:type="dxa"/>
              <w:bottom w:w="70" w:type="dxa"/>
              <w:end w:w="90" w:type="dxa"/>
            </w:tcMar>
          </w:tcPr>
          <w:p>
            <w:pPr>
              <w:spacing w:after="0"/>
            </w:pPr>
            <w:r/>
            <w:r>
              <w:rPr>
                <w:rFonts w:ascii="Aptos" w:hAnsi="Aptos"/>
                <w:b w:val="0"/>
                <w:sz w:val="15"/>
              </w:rPr>
              <w:t>Count of rules where rule_status = Passed.</w:t>
            </w:r>
          </w:p>
        </w:tc>
        <w:tc>
          <w:tcPr>
            <w:tcW w:type="dxa" w:w="3456"/>
            <w:vAlign w:val="top"/>
            <w:tcMar>
              <w:top w:w="70" w:type="dxa"/>
              <w:start w:w="90" w:type="dxa"/>
              <w:bottom w:w="70" w:type="dxa"/>
              <w:end w:w="90" w:type="dxa"/>
            </w:tcMar>
          </w:tcPr>
          <w:p>
            <w:pPr>
              <w:spacing w:after="0"/>
            </w:pPr>
            <w:r/>
            <w:r>
              <w:rPr>
                <w:rFonts w:ascii="Aptos" w:hAnsi="Aptos"/>
                <w:b w:val="0"/>
                <w:sz w:val="15"/>
              </w:rPr>
              <w:t>How many controls are operating without detected issues?</w:t>
            </w:r>
          </w:p>
        </w:tc>
      </w:tr>
      <w:tr>
        <w:tc>
          <w:tcPr>
            <w:tcW w:type="dxa" w:w="2376"/>
            <w:vAlign w:val="top"/>
            <w:tcMar>
              <w:top w:w="70" w:type="dxa"/>
              <w:start w:w="90" w:type="dxa"/>
              <w:bottom w:w="70" w:type="dxa"/>
              <w:end w:w="90" w:type="dxa"/>
            </w:tcMar>
          </w:tcPr>
          <w:p>
            <w:pPr>
              <w:spacing w:after="0"/>
            </w:pPr>
            <w:r/>
            <w:r>
              <w:rPr>
                <w:rFonts w:ascii="Aptos" w:hAnsi="Aptos"/>
                <w:b w:val="0"/>
                <w:sz w:val="15"/>
              </w:rPr>
              <w:t>DQ Pass Rate</w:t>
            </w:r>
          </w:p>
        </w:tc>
        <w:tc>
          <w:tcPr>
            <w:tcW w:type="dxa" w:w="4752"/>
            <w:vAlign w:val="top"/>
            <w:tcMar>
              <w:top w:w="70" w:type="dxa"/>
              <w:start w:w="90" w:type="dxa"/>
              <w:bottom w:w="70" w:type="dxa"/>
              <w:end w:w="90" w:type="dxa"/>
            </w:tcMar>
          </w:tcPr>
          <w:p>
            <w:pPr>
              <w:spacing w:after="0"/>
            </w:pPr>
            <w:r/>
            <w:r>
              <w:rPr>
                <w:rFonts w:ascii="Aptos" w:hAnsi="Aptos"/>
                <w:b w:val="0"/>
                <w:sz w:val="15"/>
              </w:rPr>
              <w:t>Passed Rules / (Passed Rules + Failed Rules).</w:t>
            </w:r>
          </w:p>
        </w:tc>
        <w:tc>
          <w:tcPr>
            <w:tcW w:type="dxa" w:w="3456"/>
            <w:vAlign w:val="top"/>
            <w:tcMar>
              <w:top w:w="70" w:type="dxa"/>
              <w:start w:w="90" w:type="dxa"/>
              <w:bottom w:w="70" w:type="dxa"/>
              <w:end w:w="90" w:type="dxa"/>
            </w:tcMar>
          </w:tcPr>
          <w:p>
            <w:pPr>
              <w:spacing w:after="0"/>
            </w:pPr>
            <w:r/>
            <w:r>
              <w:rPr>
                <w:rFonts w:ascii="Aptos" w:hAnsi="Aptos"/>
                <w:b w:val="0"/>
                <w:sz w:val="15"/>
              </w:rPr>
              <w:t>What proportion of rules passes?</w:t>
            </w:r>
          </w:p>
        </w:tc>
      </w:tr>
      <w:tr>
        <w:tc>
          <w:tcPr>
            <w:tcW w:type="dxa" w:w="2376"/>
            <w:vAlign w:val="top"/>
            <w:tcMar>
              <w:top w:w="70" w:type="dxa"/>
              <w:start w:w="90" w:type="dxa"/>
              <w:bottom w:w="70" w:type="dxa"/>
              <w:end w:w="90" w:type="dxa"/>
            </w:tcMar>
          </w:tcPr>
          <w:p>
            <w:pPr>
              <w:spacing w:after="0"/>
            </w:pPr>
            <w:r/>
            <w:r>
              <w:rPr>
                <w:rFonts w:ascii="Aptos" w:hAnsi="Aptos"/>
                <w:b w:val="0"/>
                <w:sz w:val="15"/>
              </w:rPr>
              <w:t>Critical Failed Rules</w:t>
            </w:r>
          </w:p>
        </w:tc>
        <w:tc>
          <w:tcPr>
            <w:tcW w:type="dxa" w:w="4752"/>
            <w:vAlign w:val="top"/>
            <w:tcMar>
              <w:top w:w="70" w:type="dxa"/>
              <w:start w:w="90" w:type="dxa"/>
              <w:bottom w:w="70" w:type="dxa"/>
              <w:end w:w="90" w:type="dxa"/>
            </w:tcMar>
          </w:tcPr>
          <w:p>
            <w:pPr>
              <w:spacing w:after="0"/>
            </w:pPr>
            <w:r/>
            <w:r>
              <w:rPr>
                <w:rFonts w:ascii="Aptos" w:hAnsi="Aptos"/>
                <w:b w:val="0"/>
                <w:sz w:val="15"/>
              </w:rPr>
              <w:t>Count of failed rules with severity = Critical.</w:t>
            </w:r>
          </w:p>
        </w:tc>
        <w:tc>
          <w:tcPr>
            <w:tcW w:type="dxa" w:w="3456"/>
            <w:vAlign w:val="top"/>
            <w:tcMar>
              <w:top w:w="70" w:type="dxa"/>
              <w:start w:w="90" w:type="dxa"/>
              <w:bottom w:w="70" w:type="dxa"/>
              <w:end w:w="90" w:type="dxa"/>
            </w:tcMar>
          </w:tcPr>
          <w:p>
            <w:pPr>
              <w:spacing w:after="0"/>
            </w:pPr>
            <w:r/>
            <w:r>
              <w:rPr>
                <w:rFonts w:ascii="Aptos" w:hAnsi="Aptos"/>
                <w:b w:val="0"/>
                <w:sz w:val="15"/>
              </w:rPr>
              <w:t>Are there issues requiring immediate escalation?</w:t>
            </w:r>
          </w:p>
        </w:tc>
      </w:tr>
      <w:tr>
        <w:tc>
          <w:tcPr>
            <w:tcW w:type="dxa" w:w="2376"/>
            <w:vAlign w:val="top"/>
            <w:tcMar>
              <w:top w:w="70" w:type="dxa"/>
              <w:start w:w="90" w:type="dxa"/>
              <w:bottom w:w="70" w:type="dxa"/>
              <w:end w:w="90" w:type="dxa"/>
            </w:tcMar>
          </w:tcPr>
          <w:p>
            <w:pPr>
              <w:spacing w:after="0"/>
            </w:pPr>
            <w:r/>
            <w:r>
              <w:rPr>
                <w:rFonts w:ascii="Aptos" w:hAnsi="Aptos"/>
                <w:b w:val="0"/>
                <w:sz w:val="15"/>
              </w:rPr>
              <w:t>Total Failed Records</w:t>
            </w:r>
          </w:p>
        </w:tc>
        <w:tc>
          <w:tcPr>
            <w:tcW w:type="dxa" w:w="4752"/>
            <w:vAlign w:val="top"/>
            <w:tcMar>
              <w:top w:w="70" w:type="dxa"/>
              <w:start w:w="90" w:type="dxa"/>
              <w:bottom w:w="70" w:type="dxa"/>
              <w:end w:w="90" w:type="dxa"/>
            </w:tcMar>
          </w:tcPr>
          <w:p>
            <w:pPr>
              <w:spacing w:after="0"/>
            </w:pPr>
            <w:r/>
            <w:r>
              <w:rPr>
                <w:rFonts w:ascii="Aptos" w:hAnsi="Aptos"/>
                <w:b w:val="0"/>
                <w:sz w:val="15"/>
              </w:rPr>
              <w:t>SUM(failed_record_count).</w:t>
            </w:r>
          </w:p>
        </w:tc>
        <w:tc>
          <w:tcPr>
            <w:tcW w:type="dxa" w:w="3456"/>
            <w:vAlign w:val="top"/>
            <w:tcMar>
              <w:top w:w="70" w:type="dxa"/>
              <w:start w:w="90" w:type="dxa"/>
              <w:bottom w:w="70" w:type="dxa"/>
              <w:end w:w="90" w:type="dxa"/>
            </w:tcMar>
          </w:tcPr>
          <w:p>
            <w:pPr>
              <w:spacing w:after="0"/>
            </w:pPr>
            <w:r/>
            <w:r>
              <w:rPr>
                <w:rFonts w:ascii="Aptos" w:hAnsi="Aptos"/>
                <w:b w:val="0"/>
                <w:sz w:val="15"/>
              </w:rPr>
              <w:t>How many issue observations were identified across all rules?</w:t>
            </w:r>
          </w:p>
        </w:tc>
      </w:tr>
      <w:tr>
        <w:tc>
          <w:tcPr>
            <w:tcW w:type="dxa" w:w="2376"/>
            <w:vAlign w:val="top"/>
            <w:tcMar>
              <w:top w:w="70" w:type="dxa"/>
              <w:start w:w="90" w:type="dxa"/>
              <w:bottom w:w="70" w:type="dxa"/>
              <w:end w:w="90" w:type="dxa"/>
            </w:tcMar>
          </w:tcPr>
          <w:p>
            <w:pPr>
              <w:spacing w:after="0"/>
            </w:pPr>
            <w:r/>
            <w:r>
              <w:rPr>
                <w:rFonts w:ascii="Aptos" w:hAnsi="Aptos"/>
                <w:b w:val="0"/>
                <w:sz w:val="15"/>
              </w:rPr>
              <w:t>Failed Records by Domain</w:t>
            </w:r>
          </w:p>
        </w:tc>
        <w:tc>
          <w:tcPr>
            <w:tcW w:type="dxa" w:w="4752"/>
            <w:vAlign w:val="top"/>
            <w:tcMar>
              <w:top w:w="70" w:type="dxa"/>
              <w:start w:w="90" w:type="dxa"/>
              <w:bottom w:w="70" w:type="dxa"/>
              <w:end w:w="90" w:type="dxa"/>
            </w:tcMar>
          </w:tcPr>
          <w:p>
            <w:pPr>
              <w:spacing w:after="0"/>
            </w:pPr>
            <w:r/>
            <w:r>
              <w:rPr>
                <w:rFonts w:ascii="Aptos" w:hAnsi="Aptos"/>
                <w:b w:val="0"/>
                <w:sz w:val="15"/>
              </w:rPr>
              <w:t>SUM(failed_record_count) by data_domain.</w:t>
            </w:r>
          </w:p>
        </w:tc>
        <w:tc>
          <w:tcPr>
            <w:tcW w:type="dxa" w:w="3456"/>
            <w:vAlign w:val="top"/>
            <w:tcMar>
              <w:top w:w="70" w:type="dxa"/>
              <w:start w:w="90" w:type="dxa"/>
              <w:bottom w:w="70" w:type="dxa"/>
              <w:end w:w="90" w:type="dxa"/>
            </w:tcMar>
          </w:tcPr>
          <w:p>
            <w:pPr>
              <w:spacing w:after="0"/>
            </w:pPr>
            <w:r/>
            <w:r>
              <w:rPr>
                <w:rFonts w:ascii="Aptos" w:hAnsi="Aptos"/>
                <w:b w:val="0"/>
                <w:sz w:val="15"/>
              </w:rPr>
              <w:t>Are issues concentrated in Legal Entity or Sales Reporting data?</w:t>
            </w:r>
          </w:p>
        </w:tc>
      </w:tr>
      <w:tr>
        <w:tc>
          <w:tcPr>
            <w:tcW w:type="dxa" w:w="2376"/>
            <w:vAlign w:val="top"/>
            <w:tcMar>
              <w:top w:w="70" w:type="dxa"/>
              <w:start w:w="90" w:type="dxa"/>
              <w:bottom w:w="70" w:type="dxa"/>
              <w:end w:w="90" w:type="dxa"/>
            </w:tcMar>
          </w:tcPr>
          <w:p>
            <w:pPr>
              <w:spacing w:after="0"/>
            </w:pPr>
            <w:r/>
            <w:r>
              <w:rPr>
                <w:rFonts w:ascii="Aptos" w:hAnsi="Aptos"/>
                <w:b w:val="0"/>
                <w:sz w:val="15"/>
              </w:rPr>
              <w:t>Issues by DQ Dimension</w:t>
            </w:r>
          </w:p>
        </w:tc>
        <w:tc>
          <w:tcPr>
            <w:tcW w:type="dxa" w:w="4752"/>
            <w:vAlign w:val="top"/>
            <w:tcMar>
              <w:top w:w="70" w:type="dxa"/>
              <w:start w:w="90" w:type="dxa"/>
              <w:bottom w:w="70" w:type="dxa"/>
              <w:end w:w="90" w:type="dxa"/>
            </w:tcMar>
          </w:tcPr>
          <w:p>
            <w:pPr>
              <w:spacing w:after="0"/>
            </w:pPr>
            <w:r/>
            <w:r>
              <w:rPr>
                <w:rFonts w:ascii="Aptos" w:hAnsi="Aptos"/>
                <w:b w:val="0"/>
                <w:sz w:val="15"/>
              </w:rPr>
              <w:t>SUM(failed_record_count) by dq_dimension.</w:t>
            </w:r>
          </w:p>
        </w:tc>
        <w:tc>
          <w:tcPr>
            <w:tcW w:type="dxa" w:w="3456"/>
            <w:vAlign w:val="top"/>
            <w:tcMar>
              <w:top w:w="70" w:type="dxa"/>
              <w:start w:w="90" w:type="dxa"/>
              <w:bottom w:w="70" w:type="dxa"/>
              <w:end w:w="90" w:type="dxa"/>
            </w:tcMar>
          </w:tcPr>
          <w:p>
            <w:pPr>
              <w:spacing w:after="0"/>
            </w:pPr>
            <w:r/>
            <w:r>
              <w:rPr>
                <w:rFonts w:ascii="Aptos" w:hAnsi="Aptos"/>
                <w:b w:val="0"/>
                <w:sz w:val="15"/>
              </w:rPr>
              <w:t>Are problems mainly completeness, uniqueness, validity, consistency or referential integrity?</w:t>
            </w:r>
          </w:p>
        </w:tc>
      </w:tr>
      <w:tr>
        <w:tc>
          <w:tcPr>
            <w:tcW w:type="dxa" w:w="2376"/>
            <w:vAlign w:val="top"/>
            <w:tcMar>
              <w:top w:w="70" w:type="dxa"/>
              <w:start w:w="90" w:type="dxa"/>
              <w:bottom w:w="70" w:type="dxa"/>
              <w:end w:w="90" w:type="dxa"/>
            </w:tcMar>
          </w:tcPr>
          <w:p>
            <w:pPr>
              <w:spacing w:after="0"/>
            </w:pPr>
            <w:r/>
            <w:r>
              <w:rPr>
                <w:rFonts w:ascii="Aptos" w:hAnsi="Aptos"/>
                <w:b w:val="0"/>
                <w:sz w:val="15"/>
              </w:rPr>
              <w:t>Failed Rules by Severity</w:t>
            </w:r>
          </w:p>
        </w:tc>
        <w:tc>
          <w:tcPr>
            <w:tcW w:type="dxa" w:w="4752"/>
            <w:vAlign w:val="top"/>
            <w:tcMar>
              <w:top w:w="70" w:type="dxa"/>
              <w:start w:w="90" w:type="dxa"/>
              <w:bottom w:w="70" w:type="dxa"/>
              <w:end w:w="90" w:type="dxa"/>
            </w:tcMar>
          </w:tcPr>
          <w:p>
            <w:pPr>
              <w:spacing w:after="0"/>
            </w:pPr>
            <w:r/>
            <w:r>
              <w:rPr>
                <w:rFonts w:ascii="Aptos" w:hAnsi="Aptos"/>
                <w:b w:val="0"/>
                <w:sz w:val="15"/>
              </w:rPr>
              <w:t>COUNT(rule_id), filtered to Failed, by severity.</w:t>
            </w:r>
          </w:p>
        </w:tc>
        <w:tc>
          <w:tcPr>
            <w:tcW w:type="dxa" w:w="3456"/>
            <w:vAlign w:val="top"/>
            <w:tcMar>
              <w:top w:w="70" w:type="dxa"/>
              <w:start w:w="90" w:type="dxa"/>
              <w:bottom w:w="70" w:type="dxa"/>
              <w:end w:w="90" w:type="dxa"/>
            </w:tcMar>
          </w:tcPr>
          <w:p>
            <w:pPr>
              <w:spacing w:after="0"/>
            </w:pPr>
            <w:r/>
            <w:r>
              <w:rPr>
                <w:rFonts w:ascii="Aptos" w:hAnsi="Aptos"/>
                <w:b w:val="0"/>
                <w:sz w:val="15"/>
              </w:rPr>
              <w:t>How should remediation be prioritised?</w:t>
            </w:r>
          </w:p>
        </w:tc>
      </w:tr>
      <w:tr>
        <w:tc>
          <w:tcPr>
            <w:tcW w:type="dxa" w:w="2376"/>
            <w:vAlign w:val="top"/>
            <w:tcMar>
              <w:top w:w="70" w:type="dxa"/>
              <w:start w:w="90" w:type="dxa"/>
              <w:bottom w:w="70" w:type="dxa"/>
              <w:end w:w="90" w:type="dxa"/>
            </w:tcMar>
          </w:tcPr>
          <w:p>
            <w:pPr>
              <w:spacing w:after="0"/>
            </w:pPr>
            <w:r/>
            <w:r>
              <w:rPr>
                <w:rFonts w:ascii="Aptos" w:hAnsi="Aptos"/>
                <w:b w:val="0"/>
                <w:sz w:val="15"/>
              </w:rPr>
              <w:t>Rule Status</w:t>
            </w:r>
          </w:p>
        </w:tc>
        <w:tc>
          <w:tcPr>
            <w:tcW w:type="dxa" w:w="4752"/>
            <w:vAlign w:val="top"/>
            <w:tcMar>
              <w:top w:w="70" w:type="dxa"/>
              <w:start w:w="90" w:type="dxa"/>
              <w:bottom w:w="70" w:type="dxa"/>
              <w:end w:w="90" w:type="dxa"/>
            </w:tcMar>
          </w:tcPr>
          <w:p>
            <w:pPr>
              <w:spacing w:after="0"/>
            </w:pPr>
            <w:r/>
            <w:r>
              <w:rPr>
                <w:rFonts w:ascii="Aptos" w:hAnsi="Aptos"/>
                <w:b w:val="0"/>
                <w:sz w:val="15"/>
              </w:rPr>
              <w:t>COUNT(rule_id) by Passed/Failed.</w:t>
            </w:r>
          </w:p>
        </w:tc>
        <w:tc>
          <w:tcPr>
            <w:tcW w:type="dxa" w:w="3456"/>
            <w:vAlign w:val="top"/>
            <w:tcMar>
              <w:top w:w="70" w:type="dxa"/>
              <w:start w:w="90" w:type="dxa"/>
              <w:bottom w:w="70" w:type="dxa"/>
              <w:end w:w="90" w:type="dxa"/>
            </w:tcMar>
          </w:tcPr>
          <w:p>
            <w:pPr>
              <w:spacing w:after="0"/>
            </w:pPr>
            <w:r/>
            <w:r>
              <w:rPr>
                <w:rFonts w:ascii="Aptos" w:hAnsi="Aptos"/>
                <w:b w:val="0"/>
                <w:sz w:val="15"/>
              </w:rPr>
              <w:t>What is the overall control status?</w:t>
            </w:r>
          </w:p>
        </w:tc>
      </w:tr>
      <w:tr>
        <w:tc>
          <w:tcPr>
            <w:tcW w:type="dxa" w:w="2376"/>
            <w:vAlign w:val="top"/>
            <w:tcMar>
              <w:top w:w="70" w:type="dxa"/>
              <w:start w:w="90" w:type="dxa"/>
              <w:bottom w:w="70" w:type="dxa"/>
              <w:end w:w="90" w:type="dxa"/>
            </w:tcMar>
          </w:tcPr>
          <w:p>
            <w:pPr>
              <w:spacing w:after="0"/>
            </w:pPr>
            <w:r/>
            <w:r>
              <w:rPr>
                <w:rFonts w:ascii="Aptos" w:hAnsi="Aptos"/>
                <w:b w:val="0"/>
                <w:sz w:val="15"/>
              </w:rPr>
              <w:t>DQ Rule Details</w:t>
            </w:r>
          </w:p>
        </w:tc>
        <w:tc>
          <w:tcPr>
            <w:tcW w:type="dxa" w:w="4752"/>
            <w:vAlign w:val="top"/>
            <w:tcMar>
              <w:top w:w="70" w:type="dxa"/>
              <w:start w:w="90" w:type="dxa"/>
              <w:bottom w:w="70" w:type="dxa"/>
              <w:end w:w="90" w:type="dxa"/>
            </w:tcMar>
          </w:tcPr>
          <w:p>
            <w:pPr>
              <w:spacing w:after="0"/>
            </w:pPr>
            <w:r/>
            <w:r>
              <w:rPr>
                <w:rFonts w:ascii="Aptos" w:hAnsi="Aptos"/>
                <w:b w:val="0"/>
                <w:sz w:val="15"/>
              </w:rPr>
              <w:t>Rule-level table with asset, rule, severity, failed count, status and execution time.</w:t>
            </w:r>
          </w:p>
        </w:tc>
        <w:tc>
          <w:tcPr>
            <w:tcW w:type="dxa" w:w="3456"/>
            <w:vAlign w:val="top"/>
            <w:tcMar>
              <w:top w:w="70" w:type="dxa"/>
              <w:start w:w="90" w:type="dxa"/>
              <w:bottom w:w="70" w:type="dxa"/>
              <w:end w:w="90" w:type="dxa"/>
            </w:tcMar>
          </w:tcPr>
          <w:p>
            <w:pPr>
              <w:spacing w:after="0"/>
            </w:pPr>
            <w:r/>
            <w:r>
              <w:rPr>
                <w:rFonts w:ascii="Aptos" w:hAnsi="Aptos"/>
                <w:b w:val="0"/>
                <w:sz w:val="15"/>
              </w:rPr>
              <w:t>Which exact rule and data asset require investigation?</w:t>
            </w:r>
          </w:p>
        </w:tc>
      </w:tr>
    </w:tbl>
    <w:p>
      <w:pPr>
        <w:spacing w:after="0"/>
      </w:pPr>
    </w:p>
    <w:p>
      <w:pPr>
        <w:pStyle w:val="Heading2"/>
        <w:keepNext/>
        <w:spacing w:before="200" w:after="80"/>
      </w:pPr>
      <w:r>
        <w:t>9.2 Sales Overview Report</w:t>
      </w:r>
    </w:p>
    <w:p>
      <w:pPr>
        <w:spacing w:after="120" w:line="259" w:lineRule="auto"/>
      </w:pPr>
      <w:r>
        <w:rPr>
          <w:sz w:val="21"/>
        </w:rPr>
        <w:t>Primary audience: Sales Management, Product Owners, Business Performance teams and Sales Reporting Owners.</w:t>
      </w:r>
    </w:p>
    <w:p>
      <w:pPr>
        <w:spacing w:after="120" w:line="259" w:lineRule="auto"/>
      </w:pPr>
      <w:r>
        <w:rPr>
          <w:sz w:val="21"/>
        </w:rPr>
        <w:t>Purpose: show actual governed sales performance against agreed targets by month, product and sales channel. The report uses gold.mart_monthly_sales_kpis, which aggregates only contracts classified as governed sales.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520"/>
            <w:shd w:fill="1F4E78"/>
            <w:vAlign w:val="center"/>
            <w:tcMar>
              <w:top w:w="70" w:type="dxa"/>
              <w:start w:w="90" w:type="dxa"/>
              <w:bottom w:w="70" w:type="dxa"/>
              <w:end w:w="90" w:type="dxa"/>
            </w:tcMar>
          </w:tcPr>
          <w:p>
            <w:pPr>
              <w:spacing w:after="0"/>
            </w:pPr>
            <w:r/>
            <w:r>
              <w:rPr>
                <w:rFonts w:ascii="Aptos" w:hAnsi="Aptos"/>
                <w:b/>
                <w:color w:val="FFFFFF"/>
                <w:sz w:val="17"/>
              </w:rPr>
              <w:t>Measure</w:t>
            </w:r>
          </w:p>
        </w:tc>
        <w:tc>
          <w:tcPr>
            <w:tcW w:type="dxa" w:w="4032"/>
            <w:shd w:fill="1F4E78"/>
            <w:vAlign w:val="center"/>
            <w:tcMar>
              <w:top w:w="70" w:type="dxa"/>
              <w:start w:w="90" w:type="dxa"/>
              <w:bottom w:w="70" w:type="dxa"/>
              <w:end w:w="90" w:type="dxa"/>
            </w:tcMar>
          </w:tcPr>
          <w:p>
            <w:pPr>
              <w:spacing w:after="0"/>
            </w:pPr>
            <w:r/>
            <w:r>
              <w:rPr>
                <w:rFonts w:ascii="Aptos" w:hAnsi="Aptos"/>
                <w:b/>
                <w:color w:val="FFFFFF"/>
                <w:sz w:val="17"/>
              </w:rPr>
              <w:t>Calculation / source</w:t>
            </w:r>
          </w:p>
        </w:tc>
        <w:tc>
          <w:tcPr>
            <w:tcW w:type="dxa" w:w="4032"/>
            <w:shd w:fill="1F4E78"/>
            <w:vAlign w:val="center"/>
            <w:tcMar>
              <w:top w:w="70" w:type="dxa"/>
              <w:start w:w="90" w:type="dxa"/>
              <w:bottom w:w="70" w:type="dxa"/>
              <w:end w:w="90" w:type="dxa"/>
            </w:tcMar>
          </w:tcPr>
          <w:p>
            <w:pPr>
              <w:spacing w:after="0"/>
            </w:pPr>
            <w:r/>
            <w:r>
              <w:rPr>
                <w:rFonts w:ascii="Aptos" w:hAnsi="Aptos"/>
                <w:b/>
                <w:color w:val="FFFFFF"/>
                <w:sz w:val="17"/>
              </w:rPr>
              <w:t>Meaning</w:t>
            </w:r>
          </w:p>
        </w:tc>
      </w:tr>
      <w:tr>
        <w:tc>
          <w:tcPr>
            <w:tcW w:type="dxa" w:w="2520"/>
            <w:vAlign w:val="top"/>
            <w:tcMar>
              <w:top w:w="70" w:type="dxa"/>
              <w:start w:w="90" w:type="dxa"/>
              <w:bottom w:w="70" w:type="dxa"/>
              <w:end w:w="90" w:type="dxa"/>
            </w:tcMar>
          </w:tcPr>
          <w:p>
            <w:pPr>
              <w:spacing w:after="0"/>
            </w:pPr>
            <w:r/>
            <w:r>
              <w:rPr>
                <w:rFonts w:ascii="Aptos" w:hAnsi="Aptos"/>
                <w:b w:val="0"/>
                <w:sz w:val="16"/>
              </w:rPr>
              <w:t>Products Sold</w:t>
            </w:r>
          </w:p>
        </w:tc>
        <w:tc>
          <w:tcPr>
            <w:tcW w:type="dxa" w:w="4032"/>
            <w:vAlign w:val="top"/>
            <w:tcMar>
              <w:top w:w="70" w:type="dxa"/>
              <w:start w:w="90" w:type="dxa"/>
              <w:bottom w:w="70" w:type="dxa"/>
              <w:end w:w="90" w:type="dxa"/>
            </w:tcMar>
          </w:tcPr>
          <w:p>
            <w:pPr>
              <w:spacing w:after="0"/>
            </w:pPr>
            <w:r/>
            <w:r>
              <w:rPr>
                <w:rFonts w:ascii="Aptos" w:hAnsi="Aptos"/>
                <w:b w:val="0"/>
                <w:sz w:val="16"/>
              </w:rPr>
              <w:t>SUM(actual_sales_count)</w:t>
            </w:r>
          </w:p>
        </w:tc>
        <w:tc>
          <w:tcPr>
            <w:tcW w:type="dxa" w:w="4032"/>
            <w:vAlign w:val="top"/>
            <w:tcMar>
              <w:top w:w="70" w:type="dxa"/>
              <w:start w:w="90" w:type="dxa"/>
              <w:bottom w:w="70" w:type="dxa"/>
              <w:end w:w="90" w:type="dxa"/>
            </w:tcMar>
          </w:tcPr>
          <w:p>
            <w:pPr>
              <w:spacing w:after="0"/>
            </w:pPr>
            <w:r/>
            <w:r>
              <w:rPr>
                <w:rFonts w:ascii="Aptos" w:hAnsi="Aptos"/>
                <w:b w:val="0"/>
                <w:sz w:val="16"/>
              </w:rPr>
              <w:t>Number of governed product contracts in the selected context.</w:t>
            </w:r>
          </w:p>
        </w:tc>
      </w:tr>
      <w:tr>
        <w:tc>
          <w:tcPr>
            <w:tcW w:type="dxa" w:w="2520"/>
            <w:vAlign w:val="top"/>
            <w:tcMar>
              <w:top w:w="70" w:type="dxa"/>
              <w:start w:w="90" w:type="dxa"/>
              <w:bottom w:w="70" w:type="dxa"/>
              <w:end w:w="90" w:type="dxa"/>
            </w:tcMar>
          </w:tcPr>
          <w:p>
            <w:pPr>
              <w:spacing w:after="0"/>
            </w:pPr>
            <w:r/>
            <w:r>
              <w:rPr>
                <w:rFonts w:ascii="Aptos" w:hAnsi="Aptos"/>
                <w:b w:val="0"/>
                <w:sz w:val="16"/>
              </w:rPr>
              <w:t>Sales Amount</w:t>
            </w:r>
          </w:p>
        </w:tc>
        <w:tc>
          <w:tcPr>
            <w:tcW w:type="dxa" w:w="4032"/>
            <w:vAlign w:val="top"/>
            <w:tcMar>
              <w:top w:w="70" w:type="dxa"/>
              <w:start w:w="90" w:type="dxa"/>
              <w:bottom w:w="70" w:type="dxa"/>
              <w:end w:w="90" w:type="dxa"/>
            </w:tcMar>
          </w:tcPr>
          <w:p>
            <w:pPr>
              <w:spacing w:after="0"/>
            </w:pPr>
            <w:r/>
            <w:r>
              <w:rPr>
                <w:rFonts w:ascii="Aptos" w:hAnsi="Aptos"/>
                <w:b w:val="0"/>
                <w:sz w:val="16"/>
              </w:rPr>
              <w:t>SUM(actual_sales_amount_eur)</w:t>
            </w:r>
          </w:p>
        </w:tc>
        <w:tc>
          <w:tcPr>
            <w:tcW w:type="dxa" w:w="4032"/>
            <w:vAlign w:val="top"/>
            <w:tcMar>
              <w:top w:w="70" w:type="dxa"/>
              <w:start w:w="90" w:type="dxa"/>
              <w:bottom w:w="70" w:type="dxa"/>
              <w:end w:w="90" w:type="dxa"/>
            </w:tcMar>
          </w:tcPr>
          <w:p>
            <w:pPr>
              <w:spacing w:after="0"/>
            </w:pPr>
            <w:r/>
            <w:r>
              <w:rPr>
                <w:rFonts w:ascii="Aptos" w:hAnsi="Aptos"/>
                <w:b w:val="0"/>
                <w:sz w:val="16"/>
              </w:rPr>
              <w:t>EUR value of governed sales represented in the KPI mart.</w:t>
            </w:r>
          </w:p>
        </w:tc>
      </w:tr>
      <w:tr>
        <w:tc>
          <w:tcPr>
            <w:tcW w:type="dxa" w:w="2520"/>
            <w:vAlign w:val="top"/>
            <w:tcMar>
              <w:top w:w="70" w:type="dxa"/>
              <w:start w:w="90" w:type="dxa"/>
              <w:bottom w:w="70" w:type="dxa"/>
              <w:end w:w="90" w:type="dxa"/>
            </w:tcMar>
          </w:tcPr>
          <w:p>
            <w:pPr>
              <w:spacing w:after="0"/>
            </w:pPr>
            <w:r/>
            <w:r>
              <w:rPr>
                <w:rFonts w:ascii="Aptos" w:hAnsi="Aptos"/>
                <w:b w:val="0"/>
                <w:sz w:val="16"/>
              </w:rPr>
              <w:t>Customers with Sales</w:t>
            </w:r>
          </w:p>
        </w:tc>
        <w:tc>
          <w:tcPr>
            <w:tcW w:type="dxa" w:w="4032"/>
            <w:vAlign w:val="top"/>
            <w:tcMar>
              <w:top w:w="70" w:type="dxa"/>
              <w:start w:w="90" w:type="dxa"/>
              <w:bottom w:w="70" w:type="dxa"/>
              <w:end w:w="90" w:type="dxa"/>
            </w:tcMar>
          </w:tcPr>
          <w:p>
            <w:pPr>
              <w:spacing w:after="0"/>
            </w:pPr>
            <w:r/>
            <w:r>
              <w:rPr>
                <w:rFonts w:ascii="Aptos" w:hAnsi="Aptos"/>
                <w:b w:val="0"/>
                <w:sz w:val="16"/>
              </w:rPr>
              <w:t>SUM(customers_with_sales) in the current mart</w:t>
            </w:r>
          </w:p>
        </w:tc>
        <w:tc>
          <w:tcPr>
            <w:tcW w:type="dxa" w:w="4032"/>
            <w:vAlign w:val="top"/>
            <w:tcMar>
              <w:top w:w="70" w:type="dxa"/>
              <w:start w:w="90" w:type="dxa"/>
              <w:bottom w:w="70" w:type="dxa"/>
              <w:end w:w="90" w:type="dxa"/>
            </w:tcMar>
          </w:tcPr>
          <w:p>
            <w:pPr>
              <w:spacing w:after="0"/>
            </w:pPr>
            <w:r/>
            <w:r>
              <w:rPr>
                <w:rFonts w:ascii="Aptos" w:hAnsi="Aptos"/>
                <w:b w:val="0"/>
                <w:sz w:val="16"/>
              </w:rPr>
              <w:t>Customer counts across selected month-product-channel rows; not necessarily distinct across the total selection.</w:t>
            </w:r>
          </w:p>
        </w:tc>
      </w:tr>
      <w:tr>
        <w:tc>
          <w:tcPr>
            <w:tcW w:type="dxa" w:w="2520"/>
            <w:vAlign w:val="top"/>
            <w:tcMar>
              <w:top w:w="70" w:type="dxa"/>
              <w:start w:w="90" w:type="dxa"/>
              <w:bottom w:w="70" w:type="dxa"/>
              <w:end w:w="90" w:type="dxa"/>
            </w:tcMar>
          </w:tcPr>
          <w:p>
            <w:pPr>
              <w:spacing w:after="0"/>
            </w:pPr>
            <w:r/>
            <w:r>
              <w:rPr>
                <w:rFonts w:ascii="Aptos" w:hAnsi="Aptos"/>
                <w:b w:val="0"/>
                <w:sz w:val="16"/>
              </w:rPr>
              <w:t>Target Count Achievement</w:t>
            </w:r>
          </w:p>
        </w:tc>
        <w:tc>
          <w:tcPr>
            <w:tcW w:type="dxa" w:w="4032"/>
            <w:vAlign w:val="top"/>
            <w:tcMar>
              <w:top w:w="70" w:type="dxa"/>
              <w:start w:w="90" w:type="dxa"/>
              <w:bottom w:w="70" w:type="dxa"/>
              <w:end w:w="90" w:type="dxa"/>
            </w:tcMar>
          </w:tcPr>
          <w:p>
            <w:pPr>
              <w:spacing w:after="0"/>
            </w:pPr>
            <w:r/>
            <w:r>
              <w:rPr>
                <w:rFonts w:ascii="Aptos" w:hAnsi="Aptos"/>
                <w:b w:val="0"/>
                <w:sz w:val="16"/>
              </w:rPr>
              <w:t>SUM(actual_sales_count) / SUM(target_count)</w:t>
            </w:r>
          </w:p>
        </w:tc>
        <w:tc>
          <w:tcPr>
            <w:tcW w:type="dxa" w:w="4032"/>
            <w:vAlign w:val="top"/>
            <w:tcMar>
              <w:top w:w="70" w:type="dxa"/>
              <w:start w:w="90" w:type="dxa"/>
              <w:bottom w:w="70" w:type="dxa"/>
              <w:end w:w="90" w:type="dxa"/>
            </w:tcMar>
          </w:tcPr>
          <w:p>
            <w:pPr>
              <w:spacing w:after="0"/>
            </w:pPr>
            <w:r/>
            <w:r>
              <w:rPr>
                <w:rFonts w:ascii="Aptos" w:hAnsi="Aptos"/>
                <w:b w:val="0"/>
                <w:sz w:val="16"/>
              </w:rPr>
              <w:t>Achievement of the contract-count target.</w:t>
            </w:r>
          </w:p>
        </w:tc>
      </w:tr>
      <w:tr>
        <w:tc>
          <w:tcPr>
            <w:tcW w:type="dxa" w:w="2520"/>
            <w:vAlign w:val="top"/>
            <w:tcMar>
              <w:top w:w="70" w:type="dxa"/>
              <w:start w:w="90" w:type="dxa"/>
              <w:bottom w:w="70" w:type="dxa"/>
              <w:end w:w="90" w:type="dxa"/>
            </w:tcMar>
          </w:tcPr>
          <w:p>
            <w:pPr>
              <w:spacing w:after="0"/>
            </w:pPr>
            <w:r/>
            <w:r>
              <w:rPr>
                <w:rFonts w:ascii="Aptos" w:hAnsi="Aptos"/>
                <w:b w:val="0"/>
                <w:sz w:val="16"/>
              </w:rPr>
              <w:t>Target Amount Achievement</w:t>
            </w:r>
          </w:p>
        </w:tc>
        <w:tc>
          <w:tcPr>
            <w:tcW w:type="dxa" w:w="4032"/>
            <w:vAlign w:val="top"/>
            <w:tcMar>
              <w:top w:w="70" w:type="dxa"/>
              <w:start w:w="90" w:type="dxa"/>
              <w:bottom w:w="70" w:type="dxa"/>
              <w:end w:w="90" w:type="dxa"/>
            </w:tcMar>
          </w:tcPr>
          <w:p>
            <w:pPr>
              <w:spacing w:after="0"/>
            </w:pPr>
            <w:r/>
            <w:r>
              <w:rPr>
                <w:rFonts w:ascii="Aptos" w:hAnsi="Aptos"/>
                <w:b w:val="0"/>
                <w:sz w:val="16"/>
              </w:rPr>
              <w:t>SUM(actual_sales_amount_eur) / SUM(target_amount_eur)</w:t>
            </w:r>
          </w:p>
        </w:tc>
        <w:tc>
          <w:tcPr>
            <w:tcW w:type="dxa" w:w="4032"/>
            <w:vAlign w:val="top"/>
            <w:tcMar>
              <w:top w:w="70" w:type="dxa"/>
              <w:start w:w="90" w:type="dxa"/>
              <w:bottom w:w="70" w:type="dxa"/>
              <w:end w:w="90" w:type="dxa"/>
            </w:tcMar>
          </w:tcPr>
          <w:p>
            <w:pPr>
              <w:spacing w:after="0"/>
            </w:pPr>
            <w:r/>
            <w:r>
              <w:rPr>
                <w:rFonts w:ascii="Aptos" w:hAnsi="Aptos"/>
                <w:b w:val="0"/>
                <w:sz w:val="16"/>
              </w:rPr>
              <w:t>Achievement of the monetary target.</w:t>
            </w:r>
          </w:p>
        </w:tc>
      </w:tr>
      <w:tr>
        <w:tc>
          <w:tcPr>
            <w:tcW w:type="dxa" w:w="2520"/>
            <w:vAlign w:val="top"/>
            <w:tcMar>
              <w:top w:w="70" w:type="dxa"/>
              <w:start w:w="90" w:type="dxa"/>
              <w:bottom w:w="70" w:type="dxa"/>
              <w:end w:w="90" w:type="dxa"/>
            </w:tcMar>
          </w:tcPr>
          <w:p>
            <w:pPr>
              <w:spacing w:after="0"/>
            </w:pPr>
            <w:r/>
            <w:r>
              <w:rPr>
                <w:rFonts w:ascii="Aptos" w:hAnsi="Aptos"/>
                <w:b w:val="0"/>
                <w:sz w:val="16"/>
              </w:rPr>
              <w:t>Monthly Products Sold</w:t>
            </w:r>
          </w:p>
        </w:tc>
        <w:tc>
          <w:tcPr>
            <w:tcW w:type="dxa" w:w="4032"/>
            <w:vAlign w:val="top"/>
            <w:tcMar>
              <w:top w:w="70" w:type="dxa"/>
              <w:start w:w="90" w:type="dxa"/>
              <w:bottom w:w="70" w:type="dxa"/>
              <w:end w:w="90" w:type="dxa"/>
            </w:tcMar>
          </w:tcPr>
          <w:p>
            <w:pPr>
              <w:spacing w:after="0"/>
            </w:pPr>
            <w:r/>
            <w:r>
              <w:rPr>
                <w:rFonts w:ascii="Aptos" w:hAnsi="Aptos"/>
                <w:b w:val="0"/>
                <w:sz w:val="16"/>
              </w:rPr>
              <w:t>Products Sold by target_month</w:t>
            </w:r>
          </w:p>
        </w:tc>
        <w:tc>
          <w:tcPr>
            <w:tcW w:type="dxa" w:w="4032"/>
            <w:vAlign w:val="top"/>
            <w:tcMar>
              <w:top w:w="70" w:type="dxa"/>
              <w:start w:w="90" w:type="dxa"/>
              <w:bottom w:w="70" w:type="dxa"/>
              <w:end w:w="90" w:type="dxa"/>
            </w:tcMar>
          </w:tcPr>
          <w:p>
            <w:pPr>
              <w:spacing w:after="0"/>
            </w:pPr>
            <w:r/>
            <w:r>
              <w:rPr>
                <w:rFonts w:ascii="Aptos" w:hAnsi="Aptos"/>
                <w:b w:val="0"/>
                <w:sz w:val="16"/>
              </w:rPr>
              <w:t>Monthly governed-sales trend.</w:t>
            </w:r>
          </w:p>
        </w:tc>
      </w:tr>
      <w:tr>
        <w:tc>
          <w:tcPr>
            <w:tcW w:type="dxa" w:w="2520"/>
            <w:vAlign w:val="top"/>
            <w:tcMar>
              <w:top w:w="70" w:type="dxa"/>
              <w:start w:w="90" w:type="dxa"/>
              <w:bottom w:w="70" w:type="dxa"/>
              <w:end w:w="90" w:type="dxa"/>
            </w:tcMar>
          </w:tcPr>
          <w:p>
            <w:pPr>
              <w:spacing w:after="0"/>
            </w:pPr>
            <w:r/>
            <w:r>
              <w:rPr>
                <w:rFonts w:ascii="Aptos" w:hAnsi="Aptos"/>
                <w:b w:val="0"/>
                <w:sz w:val="16"/>
              </w:rPr>
              <w:t>Products Sold by Product</w:t>
            </w:r>
          </w:p>
        </w:tc>
        <w:tc>
          <w:tcPr>
            <w:tcW w:type="dxa" w:w="4032"/>
            <w:vAlign w:val="top"/>
            <w:tcMar>
              <w:top w:w="70" w:type="dxa"/>
              <w:start w:w="90" w:type="dxa"/>
              <w:bottom w:w="70" w:type="dxa"/>
              <w:end w:w="90" w:type="dxa"/>
            </w:tcMar>
          </w:tcPr>
          <w:p>
            <w:pPr>
              <w:spacing w:after="0"/>
            </w:pPr>
            <w:r/>
            <w:r>
              <w:rPr>
                <w:rFonts w:ascii="Aptos" w:hAnsi="Aptos"/>
                <w:b w:val="0"/>
                <w:sz w:val="16"/>
              </w:rPr>
              <w:t>Products Sold by product_type</w:t>
            </w:r>
          </w:p>
        </w:tc>
        <w:tc>
          <w:tcPr>
            <w:tcW w:type="dxa" w:w="4032"/>
            <w:vAlign w:val="top"/>
            <w:tcMar>
              <w:top w:w="70" w:type="dxa"/>
              <w:start w:w="90" w:type="dxa"/>
              <w:bottom w:w="70" w:type="dxa"/>
              <w:end w:w="90" w:type="dxa"/>
            </w:tcMar>
          </w:tcPr>
          <w:p>
            <w:pPr>
              <w:spacing w:after="0"/>
            </w:pPr>
            <w:r/>
            <w:r>
              <w:rPr>
                <w:rFonts w:ascii="Aptos" w:hAnsi="Aptos"/>
                <w:b w:val="0"/>
                <w:sz w:val="16"/>
              </w:rPr>
              <w:t>Product mix and performance.</w:t>
            </w:r>
          </w:p>
        </w:tc>
      </w:tr>
      <w:tr>
        <w:tc>
          <w:tcPr>
            <w:tcW w:type="dxa" w:w="2520"/>
            <w:vAlign w:val="top"/>
            <w:tcMar>
              <w:top w:w="70" w:type="dxa"/>
              <w:start w:w="90" w:type="dxa"/>
              <w:bottom w:w="70" w:type="dxa"/>
              <w:end w:w="90" w:type="dxa"/>
            </w:tcMar>
          </w:tcPr>
          <w:p>
            <w:pPr>
              <w:spacing w:after="0"/>
            </w:pPr>
            <w:r/>
            <w:r>
              <w:rPr>
                <w:rFonts w:ascii="Aptos" w:hAnsi="Aptos"/>
                <w:b w:val="0"/>
                <w:sz w:val="16"/>
              </w:rPr>
              <w:t>Products Sold by Channel</w:t>
            </w:r>
          </w:p>
        </w:tc>
        <w:tc>
          <w:tcPr>
            <w:tcW w:type="dxa" w:w="4032"/>
            <w:vAlign w:val="top"/>
            <w:tcMar>
              <w:top w:w="70" w:type="dxa"/>
              <w:start w:w="90" w:type="dxa"/>
              <w:bottom w:w="70" w:type="dxa"/>
              <w:end w:w="90" w:type="dxa"/>
            </w:tcMar>
          </w:tcPr>
          <w:p>
            <w:pPr>
              <w:spacing w:after="0"/>
            </w:pPr>
            <w:r/>
            <w:r>
              <w:rPr>
                <w:rFonts w:ascii="Aptos" w:hAnsi="Aptos"/>
                <w:b w:val="0"/>
                <w:sz w:val="16"/>
              </w:rPr>
              <w:t>Products Sold by sales_channel</w:t>
            </w:r>
          </w:p>
        </w:tc>
        <w:tc>
          <w:tcPr>
            <w:tcW w:type="dxa" w:w="4032"/>
            <w:vAlign w:val="top"/>
            <w:tcMar>
              <w:top w:w="70" w:type="dxa"/>
              <w:start w:w="90" w:type="dxa"/>
              <w:bottom w:w="70" w:type="dxa"/>
              <w:end w:w="90" w:type="dxa"/>
            </w:tcMar>
          </w:tcPr>
          <w:p>
            <w:pPr>
              <w:spacing w:after="0"/>
            </w:pPr>
            <w:r/>
            <w:r>
              <w:rPr>
                <w:rFonts w:ascii="Aptos" w:hAnsi="Aptos"/>
                <w:b w:val="0"/>
                <w:sz w:val="16"/>
              </w:rPr>
              <w:t>Digital, branch and relationship-manager performance.</w:t>
            </w:r>
          </w:p>
        </w:tc>
      </w:tr>
      <w:tr>
        <w:tc>
          <w:tcPr>
            <w:tcW w:type="dxa" w:w="2520"/>
            <w:vAlign w:val="top"/>
            <w:tcMar>
              <w:top w:w="70" w:type="dxa"/>
              <w:start w:w="90" w:type="dxa"/>
              <w:bottom w:w="70" w:type="dxa"/>
              <w:end w:w="90" w:type="dxa"/>
            </w:tcMar>
          </w:tcPr>
          <w:p>
            <w:pPr>
              <w:spacing w:after="0"/>
            </w:pPr>
            <w:r/>
            <w:r>
              <w:rPr>
                <w:rFonts w:ascii="Aptos" w:hAnsi="Aptos"/>
                <w:b w:val="0"/>
                <w:sz w:val="16"/>
              </w:rPr>
              <w:t>Actual Sales vs Target</w:t>
            </w:r>
          </w:p>
        </w:tc>
        <w:tc>
          <w:tcPr>
            <w:tcW w:type="dxa" w:w="4032"/>
            <w:vAlign w:val="top"/>
            <w:tcMar>
              <w:top w:w="70" w:type="dxa"/>
              <w:start w:w="90" w:type="dxa"/>
              <w:bottom w:w="70" w:type="dxa"/>
              <w:end w:w="90" w:type="dxa"/>
            </w:tcMar>
          </w:tcPr>
          <w:p>
            <w:pPr>
              <w:spacing w:after="0"/>
            </w:pPr>
            <w:r/>
            <w:r>
              <w:rPr>
                <w:rFonts w:ascii="Aptos" w:hAnsi="Aptos"/>
                <w:b w:val="0"/>
                <w:sz w:val="16"/>
              </w:rPr>
              <w:t>Actual and target counts by month</w:t>
            </w:r>
          </w:p>
        </w:tc>
        <w:tc>
          <w:tcPr>
            <w:tcW w:type="dxa" w:w="4032"/>
            <w:vAlign w:val="top"/>
            <w:tcMar>
              <w:top w:w="70" w:type="dxa"/>
              <w:start w:w="90" w:type="dxa"/>
              <w:bottom w:w="70" w:type="dxa"/>
              <w:end w:w="90" w:type="dxa"/>
            </w:tcMar>
          </w:tcPr>
          <w:p>
            <w:pPr>
              <w:spacing w:after="0"/>
            </w:pPr>
            <w:r/>
            <w:r>
              <w:rPr>
                <w:rFonts w:ascii="Aptos" w:hAnsi="Aptos"/>
                <w:b w:val="0"/>
                <w:sz w:val="16"/>
              </w:rPr>
              <w:t>Management performance comparison.</w:t>
            </w:r>
          </w:p>
        </w:tc>
      </w:tr>
    </w:tbl>
    <w:p>
      <w:pPr>
        <w:spacing w:after="0"/>
      </w:pPr>
    </w:p>
    <w:p>
      <w:pPr>
        <w:pStyle w:val="Heading2"/>
        <w:keepNext/>
        <w:spacing w:before="200" w:after="80"/>
      </w:pPr>
      <w:r>
        <w:t>9.3 Governed Sales Quality Report</w:t>
      </w:r>
    </w:p>
    <w:p>
      <w:pPr>
        <w:spacing w:after="120" w:line="259" w:lineRule="auto"/>
      </w:pPr>
      <w:r>
        <w:rPr>
          <w:sz w:val="21"/>
        </w:rPr>
        <w:t>Primary audience: Sales Reporting Owner, Data Steward, Business Analyst and Product Owner.</w:t>
      </w:r>
    </w:p>
    <w:p>
      <w:pPr>
        <w:spacing w:after="120" w:line="259" w:lineRule="auto"/>
      </w:pPr>
      <w:r>
        <w:rPr>
          <w:sz w:val="21"/>
        </w:rPr>
        <w:t>Purpose: explain the bridge between raw operational contracts and trusted sales KPIs. It shows how many unique contracts qualify as governed sales, how many are excluded from KPI calculations, the amount associated with each population, and the detailed contracts requiring investigation.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Measure / visual</w:t>
            </w:r>
          </w:p>
        </w:tc>
        <w:tc>
          <w:tcPr>
            <w:tcW w:type="dxa" w:w="4176"/>
            <w:shd w:fill="1F4E78"/>
            <w:vAlign w:val="center"/>
            <w:tcMar>
              <w:top w:w="70" w:type="dxa"/>
              <w:start w:w="90" w:type="dxa"/>
              <w:bottom w:w="70" w:type="dxa"/>
              <w:end w:w="90" w:type="dxa"/>
            </w:tcMar>
          </w:tcPr>
          <w:p>
            <w:pPr>
              <w:spacing w:after="0"/>
            </w:pPr>
            <w:r/>
            <w:r>
              <w:rPr>
                <w:rFonts w:ascii="Aptos" w:hAnsi="Aptos"/>
                <w:b/>
                <w:color w:val="FFFFFF"/>
                <w:sz w:val="17"/>
              </w:rPr>
              <w:t>Definition</w:t>
            </w:r>
          </w:p>
        </w:tc>
        <w:tc>
          <w:tcPr>
            <w:tcW w:type="dxa" w:w="3528"/>
            <w:shd w:fill="1F4E78"/>
            <w:vAlign w:val="center"/>
            <w:tcMar>
              <w:top w:w="70" w:type="dxa"/>
              <w:start w:w="90" w:type="dxa"/>
              <w:bottom w:w="70" w:type="dxa"/>
              <w:end w:w="90" w:type="dxa"/>
            </w:tcMar>
          </w:tcPr>
          <w:p>
            <w:pPr>
              <w:spacing w:after="0"/>
            </w:pPr>
            <w:r/>
            <w:r>
              <w:rPr>
                <w:rFonts w:ascii="Aptos" w:hAnsi="Aptos"/>
                <w:b/>
                <w:color w:val="FFFFFF"/>
                <w:sz w:val="17"/>
              </w:rPr>
              <w:t>Interpretation</w:t>
            </w:r>
          </w:p>
        </w:tc>
      </w:tr>
      <w:tr>
        <w:tc>
          <w:tcPr>
            <w:tcW w:type="dxa" w:w="2880"/>
            <w:vAlign w:val="top"/>
            <w:tcMar>
              <w:top w:w="70" w:type="dxa"/>
              <w:start w:w="90" w:type="dxa"/>
              <w:bottom w:w="70" w:type="dxa"/>
              <w:end w:w="90" w:type="dxa"/>
            </w:tcMar>
          </w:tcPr>
          <w:p>
            <w:pPr>
              <w:spacing w:after="0"/>
            </w:pPr>
            <w:r/>
            <w:r>
              <w:rPr>
                <w:rFonts w:ascii="Aptos" w:hAnsi="Aptos"/>
                <w:b w:val="0"/>
                <w:sz w:val="15"/>
              </w:rPr>
              <w:t>Governed Contracts</w:t>
            </w:r>
          </w:p>
        </w:tc>
        <w:tc>
          <w:tcPr>
            <w:tcW w:type="dxa" w:w="4176"/>
            <w:vAlign w:val="top"/>
            <w:tcMar>
              <w:top w:w="70" w:type="dxa"/>
              <w:start w:w="90" w:type="dxa"/>
              <w:bottom w:w="70" w:type="dxa"/>
              <w:end w:w="90" w:type="dxa"/>
            </w:tcMar>
          </w:tcPr>
          <w:p>
            <w:pPr>
              <w:spacing w:after="0"/>
            </w:pPr>
            <w:r/>
            <w:r>
              <w:rPr>
                <w:rFonts w:ascii="Aptos" w:hAnsi="Aptos"/>
                <w:b w:val="0"/>
                <w:sz w:val="15"/>
              </w:rPr>
              <w:t>Distinct contracts where is_governed_sale = TRUE.</w:t>
            </w:r>
          </w:p>
        </w:tc>
        <w:tc>
          <w:tcPr>
            <w:tcW w:type="dxa" w:w="3528"/>
            <w:vAlign w:val="top"/>
            <w:tcMar>
              <w:top w:w="70" w:type="dxa"/>
              <w:start w:w="90" w:type="dxa"/>
              <w:bottom w:w="70" w:type="dxa"/>
              <w:end w:w="90" w:type="dxa"/>
            </w:tcMar>
          </w:tcPr>
          <w:p>
            <w:pPr>
              <w:spacing w:after="0"/>
            </w:pPr>
            <w:r/>
            <w:r>
              <w:rPr>
                <w:rFonts w:ascii="Aptos" w:hAnsi="Aptos"/>
                <w:b w:val="0"/>
                <w:sz w:val="15"/>
              </w:rPr>
              <w:t>Contracts that satisfy the approved sale definition.</w:t>
            </w:r>
          </w:p>
        </w:tc>
      </w:tr>
      <w:tr>
        <w:tc>
          <w:tcPr>
            <w:tcW w:type="dxa" w:w="2880"/>
            <w:vAlign w:val="top"/>
            <w:tcMar>
              <w:top w:w="70" w:type="dxa"/>
              <w:start w:w="90" w:type="dxa"/>
              <w:bottom w:w="70" w:type="dxa"/>
              <w:end w:w="90" w:type="dxa"/>
            </w:tcMar>
          </w:tcPr>
          <w:p>
            <w:pPr>
              <w:spacing w:after="0"/>
            </w:pPr>
            <w:r/>
            <w:r>
              <w:rPr>
                <w:rFonts w:ascii="Aptos" w:hAnsi="Aptos"/>
                <w:b w:val="0"/>
                <w:sz w:val="15"/>
              </w:rPr>
              <w:t>Excluded Contracts</w:t>
            </w:r>
          </w:p>
        </w:tc>
        <w:tc>
          <w:tcPr>
            <w:tcW w:type="dxa" w:w="4176"/>
            <w:vAlign w:val="top"/>
            <w:tcMar>
              <w:top w:w="70" w:type="dxa"/>
              <w:start w:w="90" w:type="dxa"/>
              <w:bottom w:w="70" w:type="dxa"/>
              <w:end w:w="90" w:type="dxa"/>
            </w:tcMar>
          </w:tcPr>
          <w:p>
            <w:pPr>
              <w:spacing w:after="0"/>
            </w:pPr>
            <w:r/>
            <w:r>
              <w:rPr>
                <w:rFonts w:ascii="Aptos" w:hAnsi="Aptos"/>
                <w:b w:val="0"/>
                <w:sz w:val="15"/>
              </w:rPr>
              <w:t>Distinct contracts where is_governed_sale = FALSE.</w:t>
            </w:r>
          </w:p>
        </w:tc>
        <w:tc>
          <w:tcPr>
            <w:tcW w:type="dxa" w:w="3528"/>
            <w:vAlign w:val="top"/>
            <w:tcMar>
              <w:top w:w="70" w:type="dxa"/>
              <w:start w:w="90" w:type="dxa"/>
              <w:bottom w:w="70" w:type="dxa"/>
              <w:end w:w="90" w:type="dxa"/>
            </w:tcMar>
          </w:tcPr>
          <w:p>
            <w:pPr>
              <w:spacing w:after="0"/>
            </w:pPr>
            <w:r/>
            <w:r>
              <w:rPr>
                <w:rFonts w:ascii="Aptos" w:hAnsi="Aptos"/>
                <w:b w:val="0"/>
                <w:sz w:val="15"/>
              </w:rPr>
              <w:t>Contracts retained for analysis but excluded from governed KPIs.</w:t>
            </w:r>
          </w:p>
        </w:tc>
      </w:tr>
      <w:tr>
        <w:tc>
          <w:tcPr>
            <w:tcW w:type="dxa" w:w="2880"/>
            <w:vAlign w:val="top"/>
            <w:tcMar>
              <w:top w:w="70" w:type="dxa"/>
              <w:start w:w="90" w:type="dxa"/>
              <w:bottom w:w="70" w:type="dxa"/>
              <w:end w:w="90" w:type="dxa"/>
            </w:tcMar>
          </w:tcPr>
          <w:p>
            <w:pPr>
              <w:spacing w:after="0"/>
            </w:pPr>
            <w:r/>
            <w:r>
              <w:rPr>
                <w:rFonts w:ascii="Aptos" w:hAnsi="Aptos"/>
                <w:b w:val="0"/>
                <w:sz w:val="15"/>
              </w:rPr>
              <w:t>Governed Contract Share</w:t>
            </w:r>
          </w:p>
        </w:tc>
        <w:tc>
          <w:tcPr>
            <w:tcW w:type="dxa" w:w="4176"/>
            <w:vAlign w:val="top"/>
            <w:tcMar>
              <w:top w:w="70" w:type="dxa"/>
              <w:start w:w="90" w:type="dxa"/>
              <w:bottom w:w="70" w:type="dxa"/>
              <w:end w:w="90" w:type="dxa"/>
            </w:tcMar>
          </w:tcPr>
          <w:p>
            <w:pPr>
              <w:spacing w:after="0"/>
            </w:pPr>
            <w:r/>
            <w:r>
              <w:rPr>
                <w:rFonts w:ascii="Aptos" w:hAnsi="Aptos"/>
                <w:b w:val="0"/>
                <w:sz w:val="15"/>
              </w:rPr>
              <w:t>Governed Contracts / (Governed Contracts + Excluded Contracts).</w:t>
            </w:r>
          </w:p>
        </w:tc>
        <w:tc>
          <w:tcPr>
            <w:tcW w:type="dxa" w:w="3528"/>
            <w:vAlign w:val="top"/>
            <w:tcMar>
              <w:top w:w="70" w:type="dxa"/>
              <w:start w:w="90" w:type="dxa"/>
              <w:bottom w:w="70" w:type="dxa"/>
              <w:end w:w="90" w:type="dxa"/>
            </w:tcMar>
          </w:tcPr>
          <w:p>
            <w:pPr>
              <w:spacing w:after="0"/>
            </w:pPr>
            <w:r/>
            <w:r>
              <w:rPr>
                <w:rFonts w:ascii="Aptos" w:hAnsi="Aptos"/>
                <w:b w:val="0"/>
                <w:sz w:val="15"/>
              </w:rPr>
              <w:t>Share of unique contracts qualifying as sales.</w:t>
            </w:r>
          </w:p>
        </w:tc>
      </w:tr>
      <w:tr>
        <w:tc>
          <w:tcPr>
            <w:tcW w:type="dxa" w:w="2880"/>
            <w:vAlign w:val="top"/>
            <w:tcMar>
              <w:top w:w="70" w:type="dxa"/>
              <w:start w:w="90" w:type="dxa"/>
              <w:bottom w:w="70" w:type="dxa"/>
              <w:end w:w="90" w:type="dxa"/>
            </w:tcMar>
          </w:tcPr>
          <w:p>
            <w:pPr>
              <w:spacing w:after="0"/>
            </w:pPr>
            <w:r/>
            <w:r>
              <w:rPr>
                <w:rFonts w:ascii="Aptos" w:hAnsi="Aptos"/>
                <w:b w:val="0"/>
                <w:sz w:val="15"/>
              </w:rPr>
              <w:t>Governed Sales Amount</w:t>
            </w:r>
          </w:p>
        </w:tc>
        <w:tc>
          <w:tcPr>
            <w:tcW w:type="dxa" w:w="4176"/>
            <w:vAlign w:val="top"/>
            <w:tcMar>
              <w:top w:w="70" w:type="dxa"/>
              <w:start w:w="90" w:type="dxa"/>
              <w:bottom w:w="70" w:type="dxa"/>
              <w:end w:w="90" w:type="dxa"/>
            </w:tcMar>
          </w:tcPr>
          <w:p>
            <w:pPr>
              <w:spacing w:after="0"/>
            </w:pPr>
            <w:r/>
            <w:r>
              <w:rPr>
                <w:rFonts w:ascii="Aptos" w:hAnsi="Aptos"/>
                <w:b w:val="0"/>
                <w:sz w:val="15"/>
              </w:rPr>
              <w:t>SUM(sales_amount_eur) where is_governed_sale = TRUE.</w:t>
            </w:r>
          </w:p>
        </w:tc>
        <w:tc>
          <w:tcPr>
            <w:tcW w:type="dxa" w:w="3528"/>
            <w:vAlign w:val="top"/>
            <w:tcMar>
              <w:top w:w="70" w:type="dxa"/>
              <w:start w:w="90" w:type="dxa"/>
              <w:bottom w:w="70" w:type="dxa"/>
              <w:end w:w="90" w:type="dxa"/>
            </w:tcMar>
          </w:tcPr>
          <w:p>
            <w:pPr>
              <w:spacing w:after="0"/>
            </w:pPr>
            <w:r/>
            <w:r>
              <w:rPr>
                <w:rFonts w:ascii="Aptos" w:hAnsi="Aptos"/>
                <w:b w:val="0"/>
                <w:sz w:val="15"/>
              </w:rPr>
              <w:t>Monetary value of governed contracts.</w:t>
            </w:r>
          </w:p>
        </w:tc>
      </w:tr>
      <w:tr>
        <w:tc>
          <w:tcPr>
            <w:tcW w:type="dxa" w:w="2880"/>
            <w:vAlign w:val="top"/>
            <w:tcMar>
              <w:top w:w="70" w:type="dxa"/>
              <w:start w:w="90" w:type="dxa"/>
              <w:bottom w:w="70" w:type="dxa"/>
              <w:end w:w="90" w:type="dxa"/>
            </w:tcMar>
          </w:tcPr>
          <w:p>
            <w:pPr>
              <w:spacing w:after="0"/>
            </w:pPr>
            <w:r/>
            <w:r>
              <w:rPr>
                <w:rFonts w:ascii="Aptos" w:hAnsi="Aptos"/>
                <w:b w:val="0"/>
                <w:sz w:val="15"/>
              </w:rPr>
              <w:t>Excluded Sales Amount</w:t>
            </w:r>
          </w:p>
        </w:tc>
        <w:tc>
          <w:tcPr>
            <w:tcW w:type="dxa" w:w="4176"/>
            <w:vAlign w:val="top"/>
            <w:tcMar>
              <w:top w:w="70" w:type="dxa"/>
              <w:start w:w="90" w:type="dxa"/>
              <w:bottom w:w="70" w:type="dxa"/>
              <w:end w:w="90" w:type="dxa"/>
            </w:tcMar>
          </w:tcPr>
          <w:p>
            <w:pPr>
              <w:spacing w:after="0"/>
            </w:pPr>
            <w:r/>
            <w:r>
              <w:rPr>
                <w:rFonts w:ascii="Aptos" w:hAnsi="Aptos"/>
                <w:b w:val="0"/>
                <w:sz w:val="15"/>
              </w:rPr>
              <w:t>SUM(sales_amount_eur) where is_governed_sale = FALSE.</w:t>
            </w:r>
          </w:p>
        </w:tc>
        <w:tc>
          <w:tcPr>
            <w:tcW w:type="dxa" w:w="3528"/>
            <w:vAlign w:val="top"/>
            <w:tcMar>
              <w:top w:w="70" w:type="dxa"/>
              <w:start w:w="90" w:type="dxa"/>
              <w:bottom w:w="70" w:type="dxa"/>
              <w:end w:w="90" w:type="dxa"/>
            </w:tcMar>
          </w:tcPr>
          <w:p>
            <w:pPr>
              <w:spacing w:after="0"/>
            </w:pPr>
            <w:r/>
            <w:r>
              <w:rPr>
                <w:rFonts w:ascii="Aptos" w:hAnsi="Aptos"/>
                <w:b w:val="0"/>
                <w:sz w:val="15"/>
              </w:rPr>
              <w:t>Potential amount represented by contracts outside the approved KPI definition; not recognised sales.</w:t>
            </w:r>
          </w:p>
        </w:tc>
      </w:tr>
      <w:tr>
        <w:tc>
          <w:tcPr>
            <w:tcW w:type="dxa" w:w="2880"/>
            <w:vAlign w:val="top"/>
            <w:tcMar>
              <w:top w:w="70" w:type="dxa"/>
              <w:start w:w="90" w:type="dxa"/>
              <w:bottom w:w="70" w:type="dxa"/>
              <w:end w:w="90" w:type="dxa"/>
            </w:tcMar>
          </w:tcPr>
          <w:p>
            <w:pPr>
              <w:spacing w:after="0"/>
            </w:pPr>
            <w:r/>
            <w:r>
              <w:rPr>
                <w:rFonts w:ascii="Aptos" w:hAnsi="Aptos"/>
                <w:b w:val="0"/>
                <w:sz w:val="15"/>
              </w:rPr>
              <w:t>Governed Sales Amount Share</w:t>
            </w:r>
          </w:p>
        </w:tc>
        <w:tc>
          <w:tcPr>
            <w:tcW w:type="dxa" w:w="4176"/>
            <w:vAlign w:val="top"/>
            <w:tcMar>
              <w:top w:w="70" w:type="dxa"/>
              <w:start w:w="90" w:type="dxa"/>
              <w:bottom w:w="70" w:type="dxa"/>
              <w:end w:w="90" w:type="dxa"/>
            </w:tcMar>
          </w:tcPr>
          <w:p>
            <w:pPr>
              <w:spacing w:after="0"/>
            </w:pPr>
            <w:r/>
            <w:r>
              <w:rPr>
                <w:rFonts w:ascii="Aptos" w:hAnsi="Aptos"/>
                <w:b w:val="0"/>
                <w:sz w:val="15"/>
              </w:rPr>
              <w:t>Governed Sales Amount / total governed and excluded contract amount.</w:t>
            </w:r>
          </w:p>
        </w:tc>
        <w:tc>
          <w:tcPr>
            <w:tcW w:type="dxa" w:w="3528"/>
            <w:vAlign w:val="top"/>
            <w:tcMar>
              <w:top w:w="70" w:type="dxa"/>
              <w:start w:w="90" w:type="dxa"/>
              <w:bottom w:w="70" w:type="dxa"/>
              <w:end w:w="90" w:type="dxa"/>
            </w:tcMar>
          </w:tcPr>
          <w:p>
            <w:pPr>
              <w:spacing w:after="0"/>
            </w:pPr>
            <w:r/>
            <w:r>
              <w:rPr>
                <w:rFonts w:ascii="Aptos" w:hAnsi="Aptos"/>
                <w:b w:val="0"/>
                <w:sz w:val="15"/>
              </w:rPr>
              <w:t>Share of contract amount qualifying under the governed definition.</w:t>
            </w:r>
          </w:p>
        </w:tc>
      </w:tr>
      <w:tr>
        <w:tc>
          <w:tcPr>
            <w:tcW w:type="dxa" w:w="2880"/>
            <w:vAlign w:val="top"/>
            <w:tcMar>
              <w:top w:w="70" w:type="dxa"/>
              <w:start w:w="90" w:type="dxa"/>
              <w:bottom w:w="70" w:type="dxa"/>
              <w:end w:w="90" w:type="dxa"/>
            </w:tcMar>
          </w:tcPr>
          <w:p>
            <w:pPr>
              <w:spacing w:after="0"/>
            </w:pPr>
            <w:r/>
            <w:r>
              <w:rPr>
                <w:rFonts w:ascii="Aptos" w:hAnsi="Aptos"/>
                <w:b w:val="0"/>
                <w:sz w:val="15"/>
              </w:rPr>
              <w:t>Excluded Contracts by Status</w:t>
            </w:r>
          </w:p>
        </w:tc>
        <w:tc>
          <w:tcPr>
            <w:tcW w:type="dxa" w:w="4176"/>
            <w:vAlign w:val="top"/>
            <w:tcMar>
              <w:top w:w="70" w:type="dxa"/>
              <w:start w:w="90" w:type="dxa"/>
              <w:bottom w:w="70" w:type="dxa"/>
              <w:end w:w="90" w:type="dxa"/>
            </w:tcMar>
          </w:tcPr>
          <w:p>
            <w:pPr>
              <w:spacing w:after="0"/>
            </w:pPr>
            <w:r/>
            <w:r>
              <w:rPr>
                <w:rFonts w:ascii="Aptos" w:hAnsi="Aptos"/>
                <w:b w:val="0"/>
                <w:sz w:val="15"/>
              </w:rPr>
              <w:t>Distinct excluded contracts by contract_status.</w:t>
            </w:r>
          </w:p>
        </w:tc>
        <w:tc>
          <w:tcPr>
            <w:tcW w:type="dxa" w:w="3528"/>
            <w:vAlign w:val="top"/>
            <w:tcMar>
              <w:top w:w="70" w:type="dxa"/>
              <w:start w:w="90" w:type="dxa"/>
              <w:bottom w:w="70" w:type="dxa"/>
              <w:end w:w="90" w:type="dxa"/>
            </w:tcMar>
          </w:tcPr>
          <w:p>
            <w:pPr>
              <w:spacing w:after="0"/>
            </w:pPr>
            <w:r/>
            <w:r>
              <w:rPr>
                <w:rFonts w:ascii="Aptos" w:hAnsi="Aptos"/>
                <w:b w:val="0"/>
                <w:sz w:val="15"/>
              </w:rPr>
              <w:t>Shows expected exclusion of Cancelled, Rejected and Pending contracts and incomplete Active contracts.</w:t>
            </w:r>
          </w:p>
        </w:tc>
      </w:tr>
      <w:tr>
        <w:tc>
          <w:tcPr>
            <w:tcW w:type="dxa" w:w="2880"/>
            <w:vAlign w:val="top"/>
            <w:tcMar>
              <w:top w:w="70" w:type="dxa"/>
              <w:start w:w="90" w:type="dxa"/>
              <w:bottom w:w="70" w:type="dxa"/>
              <w:end w:w="90" w:type="dxa"/>
            </w:tcMar>
          </w:tcPr>
          <w:p>
            <w:pPr>
              <w:spacing w:after="0"/>
            </w:pPr>
            <w:r/>
            <w:r>
              <w:rPr>
                <w:rFonts w:ascii="Aptos" w:hAnsi="Aptos"/>
                <w:b w:val="0"/>
                <w:sz w:val="15"/>
              </w:rPr>
              <w:t>Excluded Contracts by Product</w:t>
            </w:r>
          </w:p>
        </w:tc>
        <w:tc>
          <w:tcPr>
            <w:tcW w:type="dxa" w:w="4176"/>
            <w:vAlign w:val="top"/>
            <w:tcMar>
              <w:top w:w="70" w:type="dxa"/>
              <w:start w:w="90" w:type="dxa"/>
              <w:bottom w:w="70" w:type="dxa"/>
              <w:end w:w="90" w:type="dxa"/>
            </w:tcMar>
          </w:tcPr>
          <w:p>
            <w:pPr>
              <w:spacing w:after="0"/>
            </w:pPr>
            <w:r/>
            <w:r>
              <w:rPr>
                <w:rFonts w:ascii="Aptos" w:hAnsi="Aptos"/>
                <w:b w:val="0"/>
                <w:sz w:val="15"/>
              </w:rPr>
              <w:t>Distinct excluded contracts by product_type.</w:t>
            </w:r>
          </w:p>
        </w:tc>
        <w:tc>
          <w:tcPr>
            <w:tcW w:type="dxa" w:w="3528"/>
            <w:vAlign w:val="top"/>
            <w:tcMar>
              <w:top w:w="70" w:type="dxa"/>
              <w:start w:w="90" w:type="dxa"/>
              <w:bottom w:w="70" w:type="dxa"/>
              <w:end w:w="90" w:type="dxa"/>
            </w:tcMar>
          </w:tcPr>
          <w:p>
            <w:pPr>
              <w:spacing w:after="0"/>
            </w:pPr>
            <w:r/>
            <w:r>
              <w:rPr>
                <w:rFonts w:ascii="Aptos" w:hAnsi="Aptos"/>
                <w:b w:val="0"/>
                <w:sz w:val="15"/>
              </w:rPr>
              <w:t>Identifies invalid taxonomy and product-specific exclusion patterns.</w:t>
            </w:r>
          </w:p>
        </w:tc>
      </w:tr>
      <w:tr>
        <w:tc>
          <w:tcPr>
            <w:tcW w:type="dxa" w:w="2880"/>
            <w:vAlign w:val="top"/>
            <w:tcMar>
              <w:top w:w="70" w:type="dxa"/>
              <w:start w:w="90" w:type="dxa"/>
              <w:bottom w:w="70" w:type="dxa"/>
              <w:end w:w="90" w:type="dxa"/>
            </w:tcMar>
          </w:tcPr>
          <w:p>
            <w:pPr>
              <w:spacing w:after="0"/>
            </w:pPr>
            <w:r/>
            <w:r>
              <w:rPr>
                <w:rFonts w:ascii="Aptos" w:hAnsi="Aptos"/>
                <w:b w:val="0"/>
                <w:sz w:val="15"/>
              </w:rPr>
              <w:t>Contracts Excluded from Governed Sales</w:t>
            </w:r>
          </w:p>
        </w:tc>
        <w:tc>
          <w:tcPr>
            <w:tcW w:type="dxa" w:w="4176"/>
            <w:vAlign w:val="top"/>
            <w:tcMar>
              <w:top w:w="70" w:type="dxa"/>
              <w:start w:w="90" w:type="dxa"/>
              <w:bottom w:w="70" w:type="dxa"/>
              <w:end w:w="90" w:type="dxa"/>
            </w:tcMar>
          </w:tcPr>
          <w:p>
            <w:pPr>
              <w:spacing w:after="0"/>
            </w:pPr>
            <w:r/>
            <w:r>
              <w:rPr>
                <w:rFonts w:ascii="Aptos" w:hAnsi="Aptos"/>
                <w:b w:val="0"/>
                <w:sz w:val="15"/>
              </w:rPr>
              <w:t>Detail table filtered to is_governed_sale = FALSE.</w:t>
            </w:r>
          </w:p>
        </w:tc>
        <w:tc>
          <w:tcPr>
            <w:tcW w:type="dxa" w:w="3528"/>
            <w:vAlign w:val="top"/>
            <w:tcMar>
              <w:top w:w="70" w:type="dxa"/>
              <w:start w:w="90" w:type="dxa"/>
              <w:bottom w:w="70" w:type="dxa"/>
              <w:end w:w="90" w:type="dxa"/>
            </w:tcMar>
          </w:tcPr>
          <w:p>
            <w:pPr>
              <w:spacing w:after="0"/>
            </w:pPr>
            <w:r/>
            <w:r>
              <w:rPr>
                <w:rFonts w:ascii="Aptos" w:hAnsi="Aptos"/>
                <w:b w:val="0"/>
                <w:sz w:val="15"/>
              </w:rPr>
              <w:t>Supports record-level investigation and reconciliation.</w:t>
            </w:r>
          </w:p>
        </w:tc>
      </w:tr>
    </w:tbl>
    <w:p>
      <w:pPr>
        <w:spacing w:after="0"/>
      </w:pPr>
    </w:p>
    <w:p>
      <w:pPr>
        <w:pStyle w:val="Heading2"/>
        <w:keepNext/>
        <w:spacing w:before="200" w:after="80"/>
      </w:pPr>
      <w:r>
        <w:t>9.4 KPI Reconciliation Requirement</w:t>
      </w:r>
    </w:p>
    <w:p>
      <w:pPr>
        <w:spacing w:after="120" w:line="259" w:lineRule="auto"/>
      </w:pPr>
      <w:r>
        <w:rPr>
          <w:sz w:val="21"/>
        </w:rPr>
        <w:t>KPIs carrying the same name must use the same reporting period and data population. The Gold fact table can contain governed contracts outside the target table period, while the current monthly KPI mart begins from target rows and therefore includes only months with configured targets. This may produce a difference between Governed Sales Amount in the fact table and Sales Amount in the KPI mart.</w:t>
      </w:r>
    </w:p>
    <w:p>
      <w:pPr>
        <w:spacing w:after="120" w:line="259" w:lineRule="auto"/>
      </w:pPr>
      <w:r>
        <w:rPr>
          <w:sz w:val="21"/>
        </w:rPr>
        <w:t>Before production use, the Sales Reporting Owner must approve one of the following options:</w:t>
      </w:r>
    </w:p>
    <w:p>
      <w:pPr>
        <w:pStyle w:val="ListBullet"/>
        <w:spacing w:after="60" w:line="252" w:lineRule="auto"/>
      </w:pPr>
      <w:r>
        <w:rPr>
          <w:sz w:val="21"/>
        </w:rPr>
        <w:t>extend sales targets to every reporting month containing actual governed sales;</w:t>
      </w:r>
    </w:p>
    <w:p>
      <w:pPr>
        <w:pStyle w:val="ListBullet"/>
        <w:spacing w:after="60" w:line="252" w:lineRule="auto"/>
      </w:pPr>
      <w:r>
        <w:rPr>
          <w:sz w:val="21"/>
        </w:rPr>
        <w:t>use a full outer join between actuals and targets so that actual sales without targets remain visible; or</w:t>
      </w:r>
    </w:p>
    <w:p>
      <w:pPr>
        <w:pStyle w:val="ListBullet"/>
        <w:spacing w:after="60" w:line="252" w:lineRule="auto"/>
      </w:pPr>
      <w:r>
        <w:rPr>
          <w:sz w:val="21"/>
        </w:rPr>
        <w:t>apply one explicit target-period filter to both fact-based and mart-based measures.</w:t>
      </w:r>
    </w:p>
    <w:p>
      <w:pPr>
        <w:pStyle w:val="Heading1"/>
        <w:keepNext/>
        <w:spacing w:before="200" w:after="80"/>
      </w:pPr>
      <w:r>
        <w:t>10. Solution Architecture and Data Assets</w:t>
      </w:r>
    </w:p>
    <w:p>
      <w:pPr>
        <w:spacing w:after="120" w:line="259" w:lineRule="auto"/>
      </w:pPr>
      <w:r>
        <w:rPr>
          <w:sz w:val="21"/>
        </w:rPr>
        <w:t>The implemented data flow is: source CSV files → Bronze Delta tables → Silver standardised tables → Gold trusted reporting assets → Governance DQ result table → Power BI semantic models and reports.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728"/>
            <w:shd w:fill="1F4E78"/>
            <w:vAlign w:val="center"/>
            <w:tcMar>
              <w:top w:w="70" w:type="dxa"/>
              <w:start w:w="90" w:type="dxa"/>
              <w:bottom w:w="70" w:type="dxa"/>
              <w:end w:w="90" w:type="dxa"/>
            </w:tcMar>
          </w:tcPr>
          <w:p>
            <w:pPr>
              <w:spacing w:after="0"/>
            </w:pPr>
            <w:r/>
            <w:r>
              <w:rPr>
                <w:rFonts w:ascii="Aptos" w:hAnsi="Aptos"/>
                <w:b/>
                <w:color w:val="FFFFFF"/>
                <w:sz w:val="17"/>
              </w:rPr>
              <w:t>Layer / schema</w:t>
            </w:r>
          </w:p>
        </w:tc>
        <w:tc>
          <w:tcPr>
            <w:tcW w:type="dxa" w:w="4752"/>
            <w:shd w:fill="1F4E78"/>
            <w:vAlign w:val="center"/>
            <w:tcMar>
              <w:top w:w="70" w:type="dxa"/>
              <w:start w:w="90" w:type="dxa"/>
              <w:bottom w:w="70" w:type="dxa"/>
              <w:end w:w="90" w:type="dxa"/>
            </w:tcMar>
          </w:tcPr>
          <w:p>
            <w:pPr>
              <w:spacing w:after="0"/>
            </w:pPr>
            <w:r/>
            <w:r>
              <w:rPr>
                <w:rFonts w:ascii="Aptos" w:hAnsi="Aptos"/>
                <w:b/>
                <w:color w:val="FFFFFF"/>
                <w:sz w:val="17"/>
              </w:rPr>
              <w:t>Purpose</w:t>
            </w:r>
          </w:p>
        </w:tc>
        <w:tc>
          <w:tcPr>
            <w:tcW w:type="dxa" w:w="4320"/>
            <w:shd w:fill="1F4E78"/>
            <w:vAlign w:val="center"/>
            <w:tcMar>
              <w:top w:w="70" w:type="dxa"/>
              <w:start w:w="90" w:type="dxa"/>
              <w:bottom w:w="70" w:type="dxa"/>
              <w:end w:w="90" w:type="dxa"/>
            </w:tcMar>
          </w:tcPr>
          <w:p>
            <w:pPr>
              <w:spacing w:after="0"/>
            </w:pPr>
            <w:r/>
            <w:r>
              <w:rPr>
                <w:rFonts w:ascii="Aptos" w:hAnsi="Aptos"/>
                <w:b/>
                <w:color w:val="FFFFFF"/>
                <w:sz w:val="17"/>
              </w:rPr>
              <w:t>Tables</w:t>
            </w:r>
          </w:p>
        </w:tc>
      </w:tr>
      <w:tr>
        <w:tc>
          <w:tcPr>
            <w:tcW w:type="dxa" w:w="1728"/>
            <w:vAlign w:val="top"/>
            <w:tcMar>
              <w:top w:w="70" w:type="dxa"/>
              <w:start w:w="90" w:type="dxa"/>
              <w:bottom w:w="70" w:type="dxa"/>
              <w:end w:w="90" w:type="dxa"/>
            </w:tcMar>
          </w:tcPr>
          <w:p>
            <w:pPr>
              <w:spacing w:after="0"/>
            </w:pPr>
            <w:r/>
            <w:r>
              <w:rPr>
                <w:rFonts w:ascii="Aptos" w:hAnsi="Aptos"/>
                <w:b w:val="0"/>
                <w:sz w:val="16"/>
              </w:rPr>
              <w:t>Files/bronze</w:t>
            </w:r>
          </w:p>
        </w:tc>
        <w:tc>
          <w:tcPr>
            <w:tcW w:type="dxa" w:w="4752"/>
            <w:vAlign w:val="top"/>
            <w:tcMar>
              <w:top w:w="70" w:type="dxa"/>
              <w:start w:w="90" w:type="dxa"/>
              <w:bottom w:w="70" w:type="dxa"/>
              <w:end w:w="90" w:type="dxa"/>
            </w:tcMar>
          </w:tcPr>
          <w:p>
            <w:pPr>
              <w:spacing w:after="0"/>
            </w:pPr>
            <w:r/>
            <w:r>
              <w:rPr>
                <w:rFonts w:ascii="Aptos" w:hAnsi="Aptos"/>
                <w:b w:val="0"/>
                <w:sz w:val="16"/>
              </w:rPr>
              <w:t>Raw landing area for source CSV files.</w:t>
            </w:r>
          </w:p>
        </w:tc>
        <w:tc>
          <w:tcPr>
            <w:tcW w:type="dxa" w:w="4320"/>
            <w:vAlign w:val="top"/>
            <w:tcMar>
              <w:top w:w="70" w:type="dxa"/>
              <w:start w:w="90" w:type="dxa"/>
              <w:bottom w:w="70" w:type="dxa"/>
              <w:end w:w="90" w:type="dxa"/>
            </w:tcMar>
          </w:tcPr>
          <w:p>
            <w:pPr>
              <w:spacing w:after="0"/>
            </w:pPr>
            <w:r/>
            <w:r>
              <w:rPr>
                <w:rFonts w:ascii="Aptos" w:hAnsi="Aptos"/>
                <w:b w:val="0"/>
                <w:sz w:val="16"/>
              </w:rPr>
              <w:t>legal_entity and sales folders.</w:t>
            </w:r>
          </w:p>
        </w:tc>
      </w:tr>
      <w:tr>
        <w:tc>
          <w:tcPr>
            <w:tcW w:type="dxa" w:w="1728"/>
            <w:vAlign w:val="top"/>
            <w:tcMar>
              <w:top w:w="70" w:type="dxa"/>
              <w:start w:w="90" w:type="dxa"/>
              <w:bottom w:w="70" w:type="dxa"/>
              <w:end w:w="90" w:type="dxa"/>
            </w:tcMar>
          </w:tcPr>
          <w:p>
            <w:pPr>
              <w:spacing w:after="0"/>
            </w:pPr>
            <w:r/>
            <w:r>
              <w:rPr>
                <w:rFonts w:ascii="Aptos" w:hAnsi="Aptos"/>
                <w:b w:val="0"/>
                <w:sz w:val="16"/>
              </w:rPr>
              <w:t>bronze</w:t>
            </w:r>
          </w:p>
        </w:tc>
        <w:tc>
          <w:tcPr>
            <w:tcW w:type="dxa" w:w="4752"/>
            <w:vAlign w:val="top"/>
            <w:tcMar>
              <w:top w:w="70" w:type="dxa"/>
              <w:start w:w="90" w:type="dxa"/>
              <w:bottom w:w="70" w:type="dxa"/>
              <w:end w:w="90" w:type="dxa"/>
            </w:tcMar>
          </w:tcPr>
          <w:p>
            <w:pPr>
              <w:spacing w:after="0"/>
            </w:pPr>
            <w:r/>
            <w:r>
              <w:rPr>
                <w:rFonts w:ascii="Aptos" w:hAnsi="Aptos"/>
                <w:b w:val="0"/>
                <w:sz w:val="16"/>
              </w:rPr>
              <w:t>Source-aligned Delta tables with ingestion audit columns.</w:t>
            </w:r>
          </w:p>
        </w:tc>
        <w:tc>
          <w:tcPr>
            <w:tcW w:type="dxa" w:w="4320"/>
            <w:vAlign w:val="top"/>
            <w:tcMar>
              <w:top w:w="70" w:type="dxa"/>
              <w:start w:w="90" w:type="dxa"/>
              <w:bottom w:w="70" w:type="dxa"/>
              <w:end w:w="90" w:type="dxa"/>
            </w:tcMar>
          </w:tcPr>
          <w:p>
            <w:pPr>
              <w:spacing w:after="0"/>
            </w:pPr>
            <w:r/>
            <w:r>
              <w:rPr>
                <w:rFonts w:ascii="Aptos" w:hAnsi="Aptos"/>
                <w:b w:val="0"/>
                <w:sz w:val="16"/>
              </w:rPr>
              <w:t>7 tables: CRM, KYC, Registry, Customers, Product Contracts, Sales Targets and Branches.</w:t>
            </w:r>
          </w:p>
        </w:tc>
      </w:tr>
      <w:tr>
        <w:tc>
          <w:tcPr>
            <w:tcW w:type="dxa" w:w="1728"/>
            <w:vAlign w:val="top"/>
            <w:tcMar>
              <w:top w:w="70" w:type="dxa"/>
              <w:start w:w="90" w:type="dxa"/>
              <w:bottom w:w="70" w:type="dxa"/>
              <w:end w:w="90" w:type="dxa"/>
            </w:tcMar>
          </w:tcPr>
          <w:p>
            <w:pPr>
              <w:spacing w:after="0"/>
            </w:pPr>
            <w:r/>
            <w:r>
              <w:rPr>
                <w:rFonts w:ascii="Aptos" w:hAnsi="Aptos"/>
                <w:b w:val="0"/>
                <w:sz w:val="16"/>
              </w:rPr>
              <w:t>silver</w:t>
            </w:r>
          </w:p>
        </w:tc>
        <w:tc>
          <w:tcPr>
            <w:tcW w:type="dxa" w:w="4752"/>
            <w:vAlign w:val="top"/>
            <w:tcMar>
              <w:top w:w="70" w:type="dxa"/>
              <w:start w:w="90" w:type="dxa"/>
              <w:bottom w:w="70" w:type="dxa"/>
              <w:end w:w="90" w:type="dxa"/>
            </w:tcMar>
          </w:tcPr>
          <w:p>
            <w:pPr>
              <w:spacing w:after="0"/>
            </w:pPr>
            <w:r/>
            <w:r>
              <w:rPr>
                <w:rFonts w:ascii="Aptos" w:hAnsi="Aptos"/>
                <w:b w:val="0"/>
                <w:sz w:val="16"/>
              </w:rPr>
              <w:t>Standardised types and text values while retaining DQ defects and duplicates.</w:t>
            </w:r>
          </w:p>
        </w:tc>
        <w:tc>
          <w:tcPr>
            <w:tcW w:type="dxa" w:w="4320"/>
            <w:vAlign w:val="top"/>
            <w:tcMar>
              <w:top w:w="70" w:type="dxa"/>
              <w:start w:w="90" w:type="dxa"/>
              <w:bottom w:w="70" w:type="dxa"/>
              <w:end w:w="90" w:type="dxa"/>
            </w:tcMar>
          </w:tcPr>
          <w:p>
            <w:pPr>
              <w:spacing w:after="0"/>
            </w:pPr>
            <w:r/>
            <w:r>
              <w:rPr>
                <w:rFonts w:ascii="Aptos" w:hAnsi="Aptos"/>
                <w:b w:val="0"/>
                <w:sz w:val="16"/>
              </w:rPr>
              <w:t>7 standardised tables matching the Bronze subjects.</w:t>
            </w:r>
          </w:p>
        </w:tc>
      </w:tr>
      <w:tr>
        <w:tc>
          <w:tcPr>
            <w:tcW w:type="dxa" w:w="1728"/>
            <w:vAlign w:val="top"/>
            <w:tcMar>
              <w:top w:w="70" w:type="dxa"/>
              <w:start w:w="90" w:type="dxa"/>
              <w:bottom w:w="70" w:type="dxa"/>
              <w:end w:w="90" w:type="dxa"/>
            </w:tcMar>
          </w:tcPr>
          <w:p>
            <w:pPr>
              <w:spacing w:after="0"/>
            </w:pPr>
            <w:r/>
            <w:r>
              <w:rPr>
                <w:rFonts w:ascii="Aptos" w:hAnsi="Aptos"/>
                <w:b w:val="0"/>
                <w:sz w:val="16"/>
              </w:rPr>
              <w:t>gold</w:t>
            </w:r>
          </w:p>
        </w:tc>
        <w:tc>
          <w:tcPr>
            <w:tcW w:type="dxa" w:w="4752"/>
            <w:vAlign w:val="top"/>
            <w:tcMar>
              <w:top w:w="70" w:type="dxa"/>
              <w:start w:w="90" w:type="dxa"/>
              <w:bottom w:w="70" w:type="dxa"/>
              <w:end w:w="90" w:type="dxa"/>
            </w:tcMar>
          </w:tcPr>
          <w:p>
            <w:pPr>
              <w:spacing w:after="0"/>
            </w:pPr>
            <w:r/>
            <w:r>
              <w:rPr>
                <w:rFonts w:ascii="Aptos" w:hAnsi="Aptos"/>
                <w:b w:val="0"/>
                <w:sz w:val="16"/>
              </w:rPr>
              <w:t>Trusted and report-ready business assets.</w:t>
            </w:r>
          </w:p>
        </w:tc>
        <w:tc>
          <w:tcPr>
            <w:tcW w:type="dxa" w:w="4320"/>
            <w:vAlign w:val="top"/>
            <w:tcMar>
              <w:top w:w="70" w:type="dxa"/>
              <w:start w:w="90" w:type="dxa"/>
              <w:bottom w:w="70" w:type="dxa"/>
              <w:end w:w="90" w:type="dxa"/>
            </w:tcMar>
          </w:tcPr>
          <w:p>
            <w:pPr>
              <w:spacing w:after="0"/>
            </w:pPr>
            <w:r/>
            <w:r>
              <w:rPr>
                <w:rFonts w:ascii="Aptos" w:hAnsi="Aptos"/>
                <w:b w:val="0"/>
                <w:sz w:val="16"/>
              </w:rPr>
              <w:t>dim_legal_entity_golden, fct_banking_product_sales, mart_monthly_sales_kpis.</w:t>
            </w:r>
          </w:p>
        </w:tc>
      </w:tr>
      <w:tr>
        <w:tc>
          <w:tcPr>
            <w:tcW w:type="dxa" w:w="1728"/>
            <w:vAlign w:val="top"/>
            <w:tcMar>
              <w:top w:w="70" w:type="dxa"/>
              <w:start w:w="90" w:type="dxa"/>
              <w:bottom w:w="70" w:type="dxa"/>
              <w:end w:w="90" w:type="dxa"/>
            </w:tcMar>
          </w:tcPr>
          <w:p>
            <w:pPr>
              <w:spacing w:after="0"/>
            </w:pPr>
            <w:r/>
            <w:r>
              <w:rPr>
                <w:rFonts w:ascii="Aptos" w:hAnsi="Aptos"/>
                <w:b w:val="0"/>
                <w:sz w:val="16"/>
              </w:rPr>
              <w:t>governance</w:t>
            </w:r>
          </w:p>
        </w:tc>
        <w:tc>
          <w:tcPr>
            <w:tcW w:type="dxa" w:w="4752"/>
            <w:vAlign w:val="top"/>
            <w:tcMar>
              <w:top w:w="70" w:type="dxa"/>
              <w:start w:w="90" w:type="dxa"/>
              <w:bottom w:w="70" w:type="dxa"/>
              <w:end w:w="90" w:type="dxa"/>
            </w:tcMar>
          </w:tcPr>
          <w:p>
            <w:pPr>
              <w:spacing w:after="0"/>
            </w:pPr>
            <w:r/>
            <w:r>
              <w:rPr>
                <w:rFonts w:ascii="Aptos" w:hAnsi="Aptos"/>
                <w:b w:val="0"/>
                <w:sz w:val="16"/>
              </w:rPr>
              <w:t>DQ control outcomes for monitoring and reporting.</w:t>
            </w:r>
          </w:p>
        </w:tc>
        <w:tc>
          <w:tcPr>
            <w:tcW w:type="dxa" w:w="4320"/>
            <w:vAlign w:val="top"/>
            <w:tcMar>
              <w:top w:w="70" w:type="dxa"/>
              <w:start w:w="90" w:type="dxa"/>
              <w:bottom w:w="70" w:type="dxa"/>
              <w:end w:w="90" w:type="dxa"/>
            </w:tcMar>
          </w:tcPr>
          <w:p>
            <w:pPr>
              <w:spacing w:after="0"/>
            </w:pPr>
            <w:r/>
            <w:r>
              <w:rPr>
                <w:rFonts w:ascii="Aptos" w:hAnsi="Aptos"/>
                <w:b w:val="0"/>
                <w:sz w:val="16"/>
              </w:rPr>
              <w:t>dq_rule_results.</w:t>
            </w:r>
          </w:p>
        </w:tc>
      </w:tr>
      <w:tr>
        <w:tc>
          <w:tcPr>
            <w:tcW w:type="dxa" w:w="1728"/>
            <w:vAlign w:val="top"/>
            <w:tcMar>
              <w:top w:w="70" w:type="dxa"/>
              <w:start w:w="90" w:type="dxa"/>
              <w:bottom w:w="70" w:type="dxa"/>
              <w:end w:w="90" w:type="dxa"/>
            </w:tcMar>
          </w:tcPr>
          <w:p>
            <w:pPr>
              <w:spacing w:after="0"/>
            </w:pPr>
            <w:r/>
            <w:r>
              <w:rPr>
                <w:rFonts w:ascii="Aptos" w:hAnsi="Aptos"/>
                <w:b w:val="0"/>
                <w:sz w:val="16"/>
              </w:rPr>
              <w:t>Power BI</w:t>
            </w:r>
          </w:p>
        </w:tc>
        <w:tc>
          <w:tcPr>
            <w:tcW w:type="dxa" w:w="4752"/>
            <w:vAlign w:val="top"/>
            <w:tcMar>
              <w:top w:w="70" w:type="dxa"/>
              <w:start w:w="90" w:type="dxa"/>
              <w:bottom w:w="70" w:type="dxa"/>
              <w:end w:w="90" w:type="dxa"/>
            </w:tcMar>
          </w:tcPr>
          <w:p>
            <w:pPr>
              <w:spacing w:after="0"/>
            </w:pPr>
            <w:r/>
            <w:r>
              <w:rPr>
                <w:rFonts w:ascii="Aptos" w:hAnsi="Aptos"/>
                <w:b w:val="0"/>
                <w:sz w:val="16"/>
              </w:rPr>
              <w:t>Semantic measures and business-facing reports.</w:t>
            </w:r>
          </w:p>
        </w:tc>
        <w:tc>
          <w:tcPr>
            <w:tcW w:type="dxa" w:w="4320"/>
            <w:vAlign w:val="top"/>
            <w:tcMar>
              <w:top w:w="70" w:type="dxa"/>
              <w:start w:w="90" w:type="dxa"/>
              <w:bottom w:w="70" w:type="dxa"/>
              <w:end w:w="90" w:type="dxa"/>
            </w:tcMar>
          </w:tcPr>
          <w:p>
            <w:pPr>
              <w:spacing w:after="0"/>
            </w:pPr>
            <w:r/>
            <w:r>
              <w:rPr>
                <w:rFonts w:ascii="Aptos" w:hAnsi="Aptos"/>
                <w:b w:val="0"/>
                <w:sz w:val="16"/>
              </w:rPr>
              <w:t>DQ report, Sales Overview and Governed Sales Quality.</w:t>
            </w:r>
          </w:p>
        </w:tc>
      </w:tr>
    </w:tbl>
    <w:p>
      <w:pPr>
        <w:spacing w:after="0"/>
      </w:pPr>
    </w:p>
    <w:p>
      <w:pPr>
        <w:pStyle w:val="Heading2"/>
        <w:keepNext/>
        <w:spacing w:before="200" w:after="80"/>
      </w:pPr>
      <w:r>
        <w:t>10.1 Orchestration</w:t>
      </w:r>
    </w:p>
    <w:p>
      <w:pPr>
        <w:spacing w:after="120" w:line="259" w:lineRule="auto"/>
      </w:pPr>
      <w:r>
        <w:rPr>
          <w:sz w:val="21"/>
        </w:rPr>
        <w:t>A Microsoft Fabric Data Pipeline executes four notebook activities with On Success dependencies:</w:t>
      </w:r>
    </w:p>
    <w:p>
      <w:pPr>
        <w:pStyle w:val="ListNumber"/>
        <w:spacing w:after="60"/>
      </w:pPr>
      <w:r>
        <w:rPr>
          <w:sz w:val="21"/>
        </w:rPr>
        <w:t>01_load_bronze_tables</w:t>
      </w:r>
    </w:p>
    <w:p>
      <w:pPr>
        <w:pStyle w:val="ListNumber"/>
        <w:spacing w:after="60"/>
      </w:pPr>
      <w:r>
        <w:rPr>
          <w:sz w:val="21"/>
        </w:rPr>
        <w:t>02_create_silver_tables</w:t>
      </w:r>
    </w:p>
    <w:p>
      <w:pPr>
        <w:pStyle w:val="ListNumber"/>
        <w:spacing w:after="60"/>
      </w:pPr>
      <w:r>
        <w:rPr>
          <w:sz w:val="21"/>
        </w:rPr>
        <w:t>03_create_gold_tables</w:t>
      </w:r>
    </w:p>
    <w:p>
      <w:pPr>
        <w:pStyle w:val="ListNumber"/>
        <w:spacing w:after="60"/>
      </w:pPr>
      <w:r>
        <w:rPr>
          <w:sz w:val="21"/>
        </w:rPr>
        <w:t>04_run_data_quality_checks</w:t>
      </w:r>
    </w:p>
    <w:p>
      <w:pPr>
        <w:spacing w:after="120" w:line="259" w:lineRule="auto"/>
      </w:pPr>
      <w:r>
        <w:rPr>
          <w:sz w:val="21"/>
        </w:rPr>
        <w:t>A downstream activity must not run if the preceding stage fails. This prevents Gold tables or DQ results from being refreshed from incomplete upstream processing.</w:t>
      </w:r>
    </w:p>
    <w:p>
      <w:pPr>
        <w:pStyle w:val="Heading1"/>
        <w:keepNext/>
        <w:spacing w:before="200" w:after="80"/>
      </w:pPr>
      <w:r>
        <w:t>11. Non-Functional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224"/>
            <w:shd w:fill="1F4E78"/>
            <w:vAlign w:val="center"/>
            <w:tcMar>
              <w:top w:w="70" w:type="dxa"/>
              <w:start w:w="90" w:type="dxa"/>
              <w:bottom w:w="70" w:type="dxa"/>
              <w:end w:w="90" w:type="dxa"/>
            </w:tcMar>
          </w:tcPr>
          <w:p>
            <w:pPr>
              <w:spacing w:after="0"/>
            </w:pPr>
            <w:r/>
            <w:r>
              <w:rPr>
                <w:rFonts w:ascii="Aptos" w:hAnsi="Aptos"/>
                <w:b/>
                <w:color w:val="FFFFFF"/>
                <w:sz w:val="17"/>
              </w:rPr>
              <w:t>ID</w:t>
            </w:r>
          </w:p>
        </w:tc>
        <w:tc>
          <w:tcPr>
            <w:tcW w:type="dxa" w:w="9360"/>
            <w:shd w:fill="1F4E78"/>
            <w:vAlign w:val="center"/>
            <w:tcMar>
              <w:top w:w="70" w:type="dxa"/>
              <w:start w:w="90" w:type="dxa"/>
              <w:bottom w:w="70" w:type="dxa"/>
              <w:end w:w="90" w:type="dxa"/>
            </w:tcMar>
          </w:tcPr>
          <w:p>
            <w:pPr>
              <w:spacing w:after="0"/>
            </w:pPr>
            <w:r/>
            <w:r>
              <w:rPr>
                <w:rFonts w:ascii="Aptos" w:hAnsi="Aptos"/>
                <w:b/>
                <w:color w:val="FFFFFF"/>
                <w:sz w:val="17"/>
              </w:rPr>
              <w:t>Requirement</w:t>
            </w:r>
          </w:p>
        </w:tc>
      </w:tr>
      <w:tr>
        <w:tc>
          <w:tcPr>
            <w:tcW w:type="dxa" w:w="1224"/>
            <w:vAlign w:val="top"/>
            <w:tcMar>
              <w:top w:w="70" w:type="dxa"/>
              <w:start w:w="90" w:type="dxa"/>
              <w:bottom w:w="70" w:type="dxa"/>
              <w:end w:w="90" w:type="dxa"/>
            </w:tcMar>
          </w:tcPr>
          <w:p>
            <w:pPr>
              <w:spacing w:after="0"/>
            </w:pPr>
            <w:r/>
            <w:r>
              <w:rPr>
                <w:rFonts w:ascii="Aptos" w:hAnsi="Aptos"/>
                <w:b w:val="0"/>
                <w:sz w:val="17"/>
              </w:rPr>
              <w:t>NFR-01</w:t>
            </w:r>
          </w:p>
        </w:tc>
        <w:tc>
          <w:tcPr>
            <w:tcW w:type="dxa" w:w="9360"/>
            <w:vAlign w:val="top"/>
            <w:tcMar>
              <w:top w:w="70" w:type="dxa"/>
              <w:start w:w="90" w:type="dxa"/>
              <w:bottom w:w="70" w:type="dxa"/>
              <w:end w:w="90" w:type="dxa"/>
            </w:tcMar>
          </w:tcPr>
          <w:p>
            <w:pPr>
              <w:spacing w:after="0"/>
            </w:pPr>
            <w:r/>
            <w:r>
              <w:rPr>
                <w:rFonts w:ascii="Aptos" w:hAnsi="Aptos"/>
                <w:b w:val="0"/>
                <w:sz w:val="17"/>
              </w:rPr>
              <w:t>The transformation logic shall be deterministic and repeatable for the same source files.</w:t>
            </w:r>
          </w:p>
        </w:tc>
      </w:tr>
      <w:tr>
        <w:tc>
          <w:tcPr>
            <w:tcW w:type="dxa" w:w="1224"/>
            <w:vAlign w:val="top"/>
            <w:tcMar>
              <w:top w:w="70" w:type="dxa"/>
              <w:start w:w="90" w:type="dxa"/>
              <w:bottom w:w="70" w:type="dxa"/>
              <w:end w:w="90" w:type="dxa"/>
            </w:tcMar>
          </w:tcPr>
          <w:p>
            <w:pPr>
              <w:spacing w:after="0"/>
            </w:pPr>
            <w:r/>
            <w:r>
              <w:rPr>
                <w:rFonts w:ascii="Aptos" w:hAnsi="Aptos"/>
                <w:b w:val="0"/>
                <w:sz w:val="17"/>
              </w:rPr>
              <w:t>NFR-02</w:t>
            </w:r>
          </w:p>
        </w:tc>
        <w:tc>
          <w:tcPr>
            <w:tcW w:type="dxa" w:w="9360"/>
            <w:vAlign w:val="top"/>
            <w:tcMar>
              <w:top w:w="70" w:type="dxa"/>
              <w:start w:w="90" w:type="dxa"/>
              <w:bottom w:w="70" w:type="dxa"/>
              <w:end w:w="90" w:type="dxa"/>
            </w:tcMar>
          </w:tcPr>
          <w:p>
            <w:pPr>
              <w:spacing w:after="0"/>
            </w:pPr>
            <w:r/>
            <w:r>
              <w:rPr>
                <w:rFonts w:ascii="Aptos" w:hAnsi="Aptos"/>
                <w:b w:val="0"/>
                <w:sz w:val="17"/>
              </w:rPr>
              <w:t>The solution shall preserve source-level defects in Bronze and Silver so that they remain auditable.</w:t>
            </w:r>
          </w:p>
        </w:tc>
      </w:tr>
      <w:tr>
        <w:tc>
          <w:tcPr>
            <w:tcW w:type="dxa" w:w="1224"/>
            <w:vAlign w:val="top"/>
            <w:tcMar>
              <w:top w:w="70" w:type="dxa"/>
              <w:start w:w="90" w:type="dxa"/>
              <w:bottom w:w="70" w:type="dxa"/>
              <w:end w:w="90" w:type="dxa"/>
            </w:tcMar>
          </w:tcPr>
          <w:p>
            <w:pPr>
              <w:spacing w:after="0"/>
            </w:pPr>
            <w:r/>
            <w:r>
              <w:rPr>
                <w:rFonts w:ascii="Aptos" w:hAnsi="Aptos"/>
                <w:b w:val="0"/>
                <w:sz w:val="17"/>
              </w:rPr>
              <w:t>NFR-03</w:t>
            </w:r>
          </w:p>
        </w:tc>
        <w:tc>
          <w:tcPr>
            <w:tcW w:type="dxa" w:w="9360"/>
            <w:vAlign w:val="top"/>
            <w:tcMar>
              <w:top w:w="70" w:type="dxa"/>
              <w:start w:w="90" w:type="dxa"/>
              <w:bottom w:w="70" w:type="dxa"/>
              <w:end w:w="90" w:type="dxa"/>
            </w:tcMar>
          </w:tcPr>
          <w:p>
            <w:pPr>
              <w:spacing w:after="0"/>
            </w:pPr>
            <w:r/>
            <w:r>
              <w:rPr>
                <w:rFonts w:ascii="Aptos" w:hAnsi="Aptos"/>
                <w:b w:val="0"/>
                <w:sz w:val="17"/>
              </w:rPr>
              <w:t>Gold reporting tables shall be overwritten atomically by each successful full refresh.</w:t>
            </w:r>
          </w:p>
        </w:tc>
      </w:tr>
      <w:tr>
        <w:tc>
          <w:tcPr>
            <w:tcW w:type="dxa" w:w="1224"/>
            <w:vAlign w:val="top"/>
            <w:tcMar>
              <w:top w:w="70" w:type="dxa"/>
              <w:start w:w="90" w:type="dxa"/>
              <w:bottom w:w="70" w:type="dxa"/>
              <w:end w:w="90" w:type="dxa"/>
            </w:tcMar>
          </w:tcPr>
          <w:p>
            <w:pPr>
              <w:spacing w:after="0"/>
            </w:pPr>
            <w:r/>
            <w:r>
              <w:rPr>
                <w:rFonts w:ascii="Aptos" w:hAnsi="Aptos"/>
                <w:b w:val="0"/>
                <w:sz w:val="17"/>
              </w:rPr>
              <w:t>NFR-04</w:t>
            </w:r>
          </w:p>
        </w:tc>
        <w:tc>
          <w:tcPr>
            <w:tcW w:type="dxa" w:w="9360"/>
            <w:vAlign w:val="top"/>
            <w:tcMar>
              <w:top w:w="70" w:type="dxa"/>
              <w:start w:w="90" w:type="dxa"/>
              <w:bottom w:w="70" w:type="dxa"/>
              <w:end w:w="90" w:type="dxa"/>
            </w:tcMar>
          </w:tcPr>
          <w:p>
            <w:pPr>
              <w:spacing w:after="0"/>
            </w:pPr>
            <w:r/>
            <w:r>
              <w:rPr>
                <w:rFonts w:ascii="Aptos" w:hAnsi="Aptos"/>
                <w:b w:val="0"/>
                <w:sz w:val="17"/>
              </w:rPr>
              <w:t>All generated tables shall include meaningful schema and table names.</w:t>
            </w:r>
          </w:p>
        </w:tc>
      </w:tr>
      <w:tr>
        <w:tc>
          <w:tcPr>
            <w:tcW w:type="dxa" w:w="1224"/>
            <w:vAlign w:val="top"/>
            <w:tcMar>
              <w:top w:w="70" w:type="dxa"/>
              <w:start w:w="90" w:type="dxa"/>
              <w:bottom w:w="70" w:type="dxa"/>
              <w:end w:w="90" w:type="dxa"/>
            </w:tcMar>
          </w:tcPr>
          <w:p>
            <w:pPr>
              <w:spacing w:after="0"/>
            </w:pPr>
            <w:r/>
            <w:r>
              <w:rPr>
                <w:rFonts w:ascii="Aptos" w:hAnsi="Aptos"/>
                <w:b w:val="0"/>
                <w:sz w:val="17"/>
              </w:rPr>
              <w:t>NFR-05</w:t>
            </w:r>
          </w:p>
        </w:tc>
        <w:tc>
          <w:tcPr>
            <w:tcW w:type="dxa" w:w="9360"/>
            <w:vAlign w:val="top"/>
            <w:tcMar>
              <w:top w:w="70" w:type="dxa"/>
              <w:start w:w="90" w:type="dxa"/>
              <w:bottom w:w="70" w:type="dxa"/>
              <w:end w:w="90" w:type="dxa"/>
            </w:tcMar>
          </w:tcPr>
          <w:p>
            <w:pPr>
              <w:spacing w:after="0"/>
            </w:pPr>
            <w:r/>
            <w:r>
              <w:rPr>
                <w:rFonts w:ascii="Aptos" w:hAnsi="Aptos"/>
                <w:b w:val="0"/>
                <w:sz w:val="17"/>
              </w:rPr>
              <w:t>Audit timestamps and source-file metadata shall be retained where relevant.</w:t>
            </w:r>
          </w:p>
        </w:tc>
      </w:tr>
      <w:tr>
        <w:tc>
          <w:tcPr>
            <w:tcW w:type="dxa" w:w="1224"/>
            <w:vAlign w:val="top"/>
            <w:tcMar>
              <w:top w:w="70" w:type="dxa"/>
              <w:start w:w="90" w:type="dxa"/>
              <w:bottom w:w="70" w:type="dxa"/>
              <w:end w:w="90" w:type="dxa"/>
            </w:tcMar>
          </w:tcPr>
          <w:p>
            <w:pPr>
              <w:spacing w:after="0"/>
            </w:pPr>
            <w:r/>
            <w:r>
              <w:rPr>
                <w:rFonts w:ascii="Aptos" w:hAnsi="Aptos"/>
                <w:b w:val="0"/>
                <w:sz w:val="17"/>
              </w:rPr>
              <w:t>NFR-06</w:t>
            </w:r>
          </w:p>
        </w:tc>
        <w:tc>
          <w:tcPr>
            <w:tcW w:type="dxa" w:w="9360"/>
            <w:vAlign w:val="top"/>
            <w:tcMar>
              <w:top w:w="70" w:type="dxa"/>
              <w:start w:w="90" w:type="dxa"/>
              <w:bottom w:w="70" w:type="dxa"/>
              <w:end w:w="90" w:type="dxa"/>
            </w:tcMar>
          </w:tcPr>
          <w:p>
            <w:pPr>
              <w:spacing w:after="0"/>
            </w:pPr>
            <w:r/>
            <w:r>
              <w:rPr>
                <w:rFonts w:ascii="Aptos" w:hAnsi="Aptos"/>
                <w:b w:val="0"/>
                <w:sz w:val="17"/>
              </w:rPr>
              <w:t>Power BI reports shall use explicit DAX measures rather than relying only on implicit aggregation.</w:t>
            </w:r>
          </w:p>
        </w:tc>
      </w:tr>
      <w:tr>
        <w:tc>
          <w:tcPr>
            <w:tcW w:type="dxa" w:w="1224"/>
            <w:vAlign w:val="top"/>
            <w:tcMar>
              <w:top w:w="70" w:type="dxa"/>
              <w:start w:w="90" w:type="dxa"/>
              <w:bottom w:w="70" w:type="dxa"/>
              <w:end w:w="90" w:type="dxa"/>
            </w:tcMar>
          </w:tcPr>
          <w:p>
            <w:pPr>
              <w:spacing w:after="0"/>
            </w:pPr>
            <w:r/>
            <w:r>
              <w:rPr>
                <w:rFonts w:ascii="Aptos" w:hAnsi="Aptos"/>
                <w:b w:val="0"/>
                <w:sz w:val="17"/>
              </w:rPr>
              <w:t>NFR-07</w:t>
            </w:r>
          </w:p>
        </w:tc>
        <w:tc>
          <w:tcPr>
            <w:tcW w:type="dxa" w:w="9360"/>
            <w:vAlign w:val="top"/>
            <w:tcMar>
              <w:top w:w="70" w:type="dxa"/>
              <w:start w:w="90" w:type="dxa"/>
              <w:bottom w:w="70" w:type="dxa"/>
              <w:end w:w="90" w:type="dxa"/>
            </w:tcMar>
          </w:tcPr>
          <w:p>
            <w:pPr>
              <w:spacing w:after="0"/>
            </w:pPr>
            <w:r/>
            <w:r>
              <w:rPr>
                <w:rFonts w:ascii="Aptos" w:hAnsi="Aptos"/>
                <w:b w:val="0"/>
                <w:sz w:val="17"/>
              </w:rPr>
              <w:t>The project shall use synthetic data and contain no personal or confidential banking information.</w:t>
            </w:r>
          </w:p>
        </w:tc>
      </w:tr>
      <w:tr>
        <w:tc>
          <w:tcPr>
            <w:tcW w:type="dxa" w:w="1224"/>
            <w:vAlign w:val="top"/>
            <w:tcMar>
              <w:top w:w="70" w:type="dxa"/>
              <w:start w:w="90" w:type="dxa"/>
              <w:bottom w:w="70" w:type="dxa"/>
              <w:end w:w="90" w:type="dxa"/>
            </w:tcMar>
          </w:tcPr>
          <w:p>
            <w:pPr>
              <w:spacing w:after="0"/>
            </w:pPr>
            <w:r/>
            <w:r>
              <w:rPr>
                <w:rFonts w:ascii="Aptos" w:hAnsi="Aptos"/>
                <w:b w:val="0"/>
                <w:sz w:val="17"/>
              </w:rPr>
              <w:t>NFR-08</w:t>
            </w:r>
          </w:p>
        </w:tc>
        <w:tc>
          <w:tcPr>
            <w:tcW w:type="dxa" w:w="9360"/>
            <w:vAlign w:val="top"/>
            <w:tcMar>
              <w:top w:w="70" w:type="dxa"/>
              <w:start w:w="90" w:type="dxa"/>
              <w:bottom w:w="70" w:type="dxa"/>
              <w:end w:w="90" w:type="dxa"/>
            </w:tcMar>
          </w:tcPr>
          <w:p>
            <w:pPr>
              <w:spacing w:after="0"/>
            </w:pPr>
            <w:r/>
            <w:r>
              <w:rPr>
                <w:rFonts w:ascii="Aptos" w:hAnsi="Aptos"/>
                <w:b w:val="0"/>
                <w:sz w:val="17"/>
              </w:rPr>
              <w:t>Project artefacts shall be exportable to GitHub and understandable without access to the original Fabric tenant.</w:t>
            </w:r>
          </w:p>
        </w:tc>
      </w:tr>
    </w:tbl>
    <w:p>
      <w:pPr>
        <w:spacing w:after="0"/>
      </w:pPr>
    </w:p>
    <w:p>
      <w:pPr>
        <w:pStyle w:val="Heading1"/>
        <w:keepNext/>
        <w:spacing w:before="200" w:after="80"/>
      </w:pPr>
      <w:r>
        <w:t>12. Assumptions, Constraints and Risks</w:t>
      </w:r>
    </w:p>
    <w:p>
      <w:pPr>
        <w:pStyle w:val="Heading2"/>
        <w:keepNext/>
        <w:spacing w:before="200" w:after="80"/>
      </w:pPr>
      <w:r>
        <w:t>12.1 Assumptions</w:t>
      </w:r>
    </w:p>
    <w:p>
      <w:pPr>
        <w:pStyle w:val="ListBullet"/>
        <w:spacing w:after="60" w:line="252" w:lineRule="auto"/>
      </w:pPr>
      <w:r>
        <w:rPr>
          <w:sz w:val="21"/>
        </w:rPr>
        <w:t>The registry source is considered authoritative for legal identity and legal status.</w:t>
      </w:r>
    </w:p>
    <w:p>
      <w:pPr>
        <w:pStyle w:val="ListBullet"/>
        <w:spacing w:after="60" w:line="252" w:lineRule="auto"/>
      </w:pPr>
      <w:r>
        <w:rPr>
          <w:sz w:val="21"/>
        </w:rPr>
        <w:t>registry_code uniquely identifies a legal entity in the synthetic source design.</w:t>
      </w:r>
    </w:p>
    <w:p>
      <w:pPr>
        <w:pStyle w:val="ListBullet"/>
        <w:spacing w:after="60" w:line="252" w:lineRule="auto"/>
      </w:pPr>
      <w:r>
        <w:rPr>
          <w:sz w:val="21"/>
        </w:rPr>
        <w:t>All monetary values are in EUR.</w:t>
      </w:r>
    </w:p>
    <w:p>
      <w:pPr>
        <w:pStyle w:val="ListBullet"/>
        <w:spacing w:after="60" w:line="252" w:lineRule="auto"/>
      </w:pPr>
      <w:r>
        <w:rPr>
          <w:sz w:val="21"/>
        </w:rPr>
        <w:t>The approved product list is complete for the scope of this demonstration.</w:t>
      </w:r>
    </w:p>
    <w:p>
      <w:pPr>
        <w:pStyle w:val="ListBullet"/>
        <w:spacing w:after="60" w:line="252" w:lineRule="auto"/>
      </w:pPr>
      <w:r>
        <w:rPr>
          <w:sz w:val="21"/>
        </w:rPr>
        <w:t>A full-refresh design is acceptable for the small portfolio dataset.</w:t>
      </w:r>
    </w:p>
    <w:p>
      <w:pPr>
        <w:pStyle w:val="Heading2"/>
        <w:keepNext/>
        <w:spacing w:before="200" w:after="80"/>
      </w:pPr>
      <w:r>
        <w:t>12.2 Constraints and Risks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Risk / constraint</w:t>
            </w:r>
          </w:p>
        </w:tc>
        <w:tc>
          <w:tcPr>
            <w:tcW w:type="dxa" w:w="3312"/>
            <w:shd w:fill="1F4E78"/>
            <w:vAlign w:val="center"/>
            <w:tcMar>
              <w:top w:w="70" w:type="dxa"/>
              <w:start w:w="90" w:type="dxa"/>
              <w:bottom w:w="70" w:type="dxa"/>
              <w:end w:w="90" w:type="dxa"/>
            </w:tcMar>
          </w:tcPr>
          <w:p>
            <w:pPr>
              <w:spacing w:after="0"/>
            </w:pPr>
            <w:r/>
            <w:r>
              <w:rPr>
                <w:rFonts w:ascii="Aptos" w:hAnsi="Aptos"/>
                <w:b/>
                <w:color w:val="FFFFFF"/>
                <w:sz w:val="17"/>
              </w:rPr>
              <w:t>Impact</w:t>
            </w:r>
          </w:p>
        </w:tc>
        <w:tc>
          <w:tcPr>
            <w:tcW w:type="dxa" w:w="4392"/>
            <w:shd w:fill="1F4E78"/>
            <w:vAlign w:val="center"/>
            <w:tcMar>
              <w:top w:w="70" w:type="dxa"/>
              <w:start w:w="90" w:type="dxa"/>
              <w:bottom w:w="70" w:type="dxa"/>
              <w:end w:w="90" w:type="dxa"/>
            </w:tcMar>
          </w:tcPr>
          <w:p>
            <w:pPr>
              <w:spacing w:after="0"/>
            </w:pPr>
            <w:r/>
            <w:r>
              <w:rPr>
                <w:rFonts w:ascii="Aptos" w:hAnsi="Aptos"/>
                <w:b/>
                <w:color w:val="FFFFFF"/>
                <w:sz w:val="17"/>
              </w:rPr>
              <w:t>Mitigation</w:t>
            </w:r>
          </w:p>
        </w:tc>
      </w:tr>
      <w:tr>
        <w:tc>
          <w:tcPr>
            <w:tcW w:type="dxa" w:w="2880"/>
            <w:vAlign w:val="top"/>
            <w:tcMar>
              <w:top w:w="70" w:type="dxa"/>
              <w:start w:w="90" w:type="dxa"/>
              <w:bottom w:w="70" w:type="dxa"/>
              <w:end w:w="90" w:type="dxa"/>
            </w:tcMar>
          </w:tcPr>
          <w:p>
            <w:pPr>
              <w:spacing w:after="0"/>
            </w:pPr>
            <w:r/>
            <w:r>
              <w:rPr>
                <w:rFonts w:ascii="Aptos" w:hAnsi="Aptos"/>
                <w:b w:val="0"/>
                <w:sz w:val="16"/>
              </w:rPr>
              <w:t>Fabric capacity and Spark concurrency limitations</w:t>
            </w:r>
          </w:p>
        </w:tc>
        <w:tc>
          <w:tcPr>
            <w:tcW w:type="dxa" w:w="3312"/>
            <w:vAlign w:val="top"/>
            <w:tcMar>
              <w:top w:w="70" w:type="dxa"/>
              <w:start w:w="90" w:type="dxa"/>
              <w:bottom w:w="70" w:type="dxa"/>
              <w:end w:w="90" w:type="dxa"/>
            </w:tcMar>
          </w:tcPr>
          <w:p>
            <w:pPr>
              <w:spacing w:after="0"/>
            </w:pPr>
            <w:r/>
            <w:r>
              <w:rPr>
                <w:rFonts w:ascii="Aptos" w:hAnsi="Aptos"/>
                <w:b w:val="0"/>
                <w:sz w:val="16"/>
              </w:rPr>
              <w:t>Notebook or pipeline execution can be delayed or stopped.</w:t>
            </w:r>
          </w:p>
        </w:tc>
        <w:tc>
          <w:tcPr>
            <w:tcW w:type="dxa" w:w="4392"/>
            <w:vAlign w:val="top"/>
            <w:tcMar>
              <w:top w:w="70" w:type="dxa"/>
              <w:start w:w="90" w:type="dxa"/>
              <w:bottom w:w="70" w:type="dxa"/>
              <w:end w:w="90" w:type="dxa"/>
            </w:tcMar>
          </w:tcPr>
          <w:p>
            <w:pPr>
              <w:spacing w:after="0"/>
            </w:pPr>
            <w:r/>
            <w:r>
              <w:rPr>
                <w:rFonts w:ascii="Aptos" w:hAnsi="Aptos"/>
                <w:b w:val="0"/>
                <w:sz w:val="16"/>
              </w:rPr>
              <w:t>Run activities sequentially, stop unused sessions and retain exported notebooks.</w:t>
            </w:r>
          </w:p>
        </w:tc>
      </w:tr>
      <w:tr>
        <w:tc>
          <w:tcPr>
            <w:tcW w:type="dxa" w:w="2880"/>
            <w:vAlign w:val="top"/>
            <w:tcMar>
              <w:top w:w="70" w:type="dxa"/>
              <w:start w:w="90" w:type="dxa"/>
              <w:bottom w:w="70" w:type="dxa"/>
              <w:end w:w="90" w:type="dxa"/>
            </w:tcMar>
          </w:tcPr>
          <w:p>
            <w:pPr>
              <w:spacing w:after="0"/>
            </w:pPr>
            <w:r/>
            <w:r>
              <w:rPr>
                <w:rFonts w:ascii="Aptos" w:hAnsi="Aptos"/>
                <w:b w:val="0"/>
                <w:sz w:val="16"/>
              </w:rPr>
              <w:t>Tenant and licensing restrictions</w:t>
            </w:r>
          </w:p>
        </w:tc>
        <w:tc>
          <w:tcPr>
            <w:tcW w:type="dxa" w:w="3312"/>
            <w:vAlign w:val="top"/>
            <w:tcMar>
              <w:top w:w="70" w:type="dxa"/>
              <w:start w:w="90" w:type="dxa"/>
              <w:bottom w:w="70" w:type="dxa"/>
              <w:end w:w="90" w:type="dxa"/>
            </w:tcMar>
          </w:tcPr>
          <w:p>
            <w:pPr>
              <w:spacing w:after="0"/>
            </w:pPr>
            <w:r/>
            <w:r>
              <w:rPr>
                <w:rFonts w:ascii="Aptos" w:hAnsi="Aptos"/>
                <w:b w:val="0"/>
                <w:sz w:val="16"/>
              </w:rPr>
              <w:t>Purview or Direct Lake features may be unavailable.</w:t>
            </w:r>
          </w:p>
        </w:tc>
        <w:tc>
          <w:tcPr>
            <w:tcW w:type="dxa" w:w="4392"/>
            <w:vAlign w:val="top"/>
            <w:tcMar>
              <w:top w:w="70" w:type="dxa"/>
              <w:start w:w="90" w:type="dxa"/>
              <w:bottom w:w="70" w:type="dxa"/>
              <w:end w:w="90" w:type="dxa"/>
            </w:tcMar>
          </w:tcPr>
          <w:p>
            <w:pPr>
              <w:spacing w:after="0"/>
            </w:pPr>
            <w:r/>
            <w:r>
              <w:rPr>
                <w:rFonts w:ascii="Aptos" w:hAnsi="Aptos"/>
                <w:b w:val="0"/>
                <w:sz w:val="16"/>
              </w:rPr>
              <w:t>Use an owned Entra tenant where possible and keep governance artefacts in version control.</w:t>
            </w:r>
          </w:p>
        </w:tc>
      </w:tr>
      <w:tr>
        <w:tc>
          <w:tcPr>
            <w:tcW w:type="dxa" w:w="2880"/>
            <w:vAlign w:val="top"/>
            <w:tcMar>
              <w:top w:w="70" w:type="dxa"/>
              <w:start w:w="90" w:type="dxa"/>
              <w:bottom w:w="70" w:type="dxa"/>
              <w:end w:w="90" w:type="dxa"/>
            </w:tcMar>
          </w:tcPr>
          <w:p>
            <w:pPr>
              <w:spacing w:after="0"/>
            </w:pPr>
            <w:r/>
            <w:r>
              <w:rPr>
                <w:rFonts w:ascii="Aptos" w:hAnsi="Aptos"/>
                <w:b w:val="0"/>
                <w:sz w:val="16"/>
              </w:rPr>
              <w:t>Synthetic data</w:t>
            </w:r>
          </w:p>
        </w:tc>
        <w:tc>
          <w:tcPr>
            <w:tcW w:type="dxa" w:w="3312"/>
            <w:vAlign w:val="top"/>
            <w:tcMar>
              <w:top w:w="70" w:type="dxa"/>
              <w:start w:w="90" w:type="dxa"/>
              <w:bottom w:w="70" w:type="dxa"/>
              <w:end w:w="90" w:type="dxa"/>
            </w:tcMar>
          </w:tcPr>
          <w:p>
            <w:pPr>
              <w:spacing w:after="0"/>
            </w:pPr>
            <w:r/>
            <w:r>
              <w:rPr>
                <w:rFonts w:ascii="Aptos" w:hAnsi="Aptos"/>
                <w:b w:val="0"/>
                <w:sz w:val="16"/>
              </w:rPr>
              <w:t>Results demonstrate process design rather than real bank performance.</w:t>
            </w:r>
          </w:p>
        </w:tc>
        <w:tc>
          <w:tcPr>
            <w:tcW w:type="dxa" w:w="4392"/>
            <w:vAlign w:val="top"/>
            <w:tcMar>
              <w:top w:w="70" w:type="dxa"/>
              <w:start w:w="90" w:type="dxa"/>
              <w:bottom w:w="70" w:type="dxa"/>
              <w:end w:w="90" w:type="dxa"/>
            </w:tcMar>
          </w:tcPr>
          <w:p>
            <w:pPr>
              <w:spacing w:after="0"/>
            </w:pPr>
            <w:r/>
            <w:r>
              <w:rPr>
                <w:rFonts w:ascii="Aptos" w:hAnsi="Aptos"/>
                <w:b w:val="0"/>
                <w:sz w:val="16"/>
              </w:rPr>
              <w:t>Clearly label all outputs as synthetic.</w:t>
            </w:r>
          </w:p>
        </w:tc>
      </w:tr>
      <w:tr>
        <w:tc>
          <w:tcPr>
            <w:tcW w:type="dxa" w:w="2880"/>
            <w:vAlign w:val="top"/>
            <w:tcMar>
              <w:top w:w="70" w:type="dxa"/>
              <w:start w:w="90" w:type="dxa"/>
              <w:bottom w:w="70" w:type="dxa"/>
              <w:end w:w="90" w:type="dxa"/>
            </w:tcMar>
          </w:tcPr>
          <w:p>
            <w:pPr>
              <w:spacing w:after="0"/>
            </w:pPr>
            <w:r/>
            <w:r>
              <w:rPr>
                <w:rFonts w:ascii="Aptos" w:hAnsi="Aptos"/>
                <w:b w:val="0"/>
                <w:sz w:val="16"/>
              </w:rPr>
              <w:t>Overlapping DQ failures</w:t>
            </w:r>
          </w:p>
        </w:tc>
        <w:tc>
          <w:tcPr>
            <w:tcW w:type="dxa" w:w="3312"/>
            <w:vAlign w:val="top"/>
            <w:tcMar>
              <w:top w:w="70" w:type="dxa"/>
              <w:start w:w="90" w:type="dxa"/>
              <w:bottom w:w="70" w:type="dxa"/>
              <w:end w:w="90" w:type="dxa"/>
            </w:tcMar>
          </w:tcPr>
          <w:p>
            <w:pPr>
              <w:spacing w:after="0"/>
            </w:pPr>
            <w:r/>
            <w:r>
              <w:rPr>
                <w:rFonts w:ascii="Aptos" w:hAnsi="Aptos"/>
                <w:b w:val="0"/>
                <w:sz w:val="16"/>
              </w:rPr>
              <w:t>SUM(failed_record_count) can count one source record more than once.</w:t>
            </w:r>
          </w:p>
        </w:tc>
        <w:tc>
          <w:tcPr>
            <w:tcW w:type="dxa" w:w="4392"/>
            <w:vAlign w:val="top"/>
            <w:tcMar>
              <w:top w:w="70" w:type="dxa"/>
              <w:start w:w="90" w:type="dxa"/>
              <w:bottom w:w="70" w:type="dxa"/>
              <w:end w:w="90" w:type="dxa"/>
            </w:tcMar>
          </w:tcPr>
          <w:p>
            <w:pPr>
              <w:spacing w:after="0"/>
            </w:pPr>
            <w:r/>
            <w:r>
              <w:rPr>
                <w:rFonts w:ascii="Aptos" w:hAnsi="Aptos"/>
                <w:b w:val="0"/>
                <w:sz w:val="16"/>
              </w:rPr>
              <w:t>Label the metric as issue observations or explain the limitation in the report.</w:t>
            </w:r>
          </w:p>
        </w:tc>
      </w:tr>
      <w:tr>
        <w:tc>
          <w:tcPr>
            <w:tcW w:type="dxa" w:w="2880"/>
            <w:vAlign w:val="top"/>
            <w:tcMar>
              <w:top w:w="70" w:type="dxa"/>
              <w:start w:w="90" w:type="dxa"/>
              <w:bottom w:w="70" w:type="dxa"/>
              <w:end w:w="90" w:type="dxa"/>
            </w:tcMar>
          </w:tcPr>
          <w:p>
            <w:pPr>
              <w:spacing w:after="0"/>
            </w:pPr>
            <w:r/>
            <w:r>
              <w:rPr>
                <w:rFonts w:ascii="Aptos" w:hAnsi="Aptos"/>
                <w:b w:val="0"/>
                <w:sz w:val="16"/>
              </w:rPr>
              <w:t>KPI period mismatch</w:t>
            </w:r>
          </w:p>
        </w:tc>
        <w:tc>
          <w:tcPr>
            <w:tcW w:type="dxa" w:w="3312"/>
            <w:vAlign w:val="top"/>
            <w:tcMar>
              <w:top w:w="70" w:type="dxa"/>
              <w:start w:w="90" w:type="dxa"/>
              <w:bottom w:w="70" w:type="dxa"/>
              <w:end w:w="90" w:type="dxa"/>
            </w:tcMar>
          </w:tcPr>
          <w:p>
            <w:pPr>
              <w:spacing w:after="0"/>
            </w:pPr>
            <w:r/>
            <w:r>
              <w:rPr>
                <w:rFonts w:ascii="Aptos" w:hAnsi="Aptos"/>
                <w:b w:val="0"/>
                <w:sz w:val="16"/>
              </w:rPr>
              <w:t>Fact and monthly mart amounts can differ when targets are missing for actual-sales months.</w:t>
            </w:r>
          </w:p>
        </w:tc>
        <w:tc>
          <w:tcPr>
            <w:tcW w:type="dxa" w:w="4392"/>
            <w:vAlign w:val="top"/>
            <w:tcMar>
              <w:top w:w="70" w:type="dxa"/>
              <w:start w:w="90" w:type="dxa"/>
              <w:bottom w:w="70" w:type="dxa"/>
              <w:end w:w="90" w:type="dxa"/>
            </w:tcMar>
          </w:tcPr>
          <w:p>
            <w:pPr>
              <w:spacing w:after="0"/>
            </w:pPr>
            <w:r/>
            <w:r>
              <w:rPr>
                <w:rFonts w:ascii="Aptos" w:hAnsi="Aptos"/>
                <w:b w:val="0"/>
                <w:sz w:val="16"/>
              </w:rPr>
              <w:t>Implement an approved reconciliation rule before production use.</w:t>
            </w:r>
          </w:p>
        </w:tc>
      </w:tr>
      <w:tr>
        <w:tc>
          <w:tcPr>
            <w:tcW w:type="dxa" w:w="2880"/>
            <w:vAlign w:val="top"/>
            <w:tcMar>
              <w:top w:w="70" w:type="dxa"/>
              <w:start w:w="90" w:type="dxa"/>
              <w:bottom w:w="70" w:type="dxa"/>
              <w:end w:w="90" w:type="dxa"/>
            </w:tcMar>
          </w:tcPr>
          <w:p>
            <w:pPr>
              <w:spacing w:after="0"/>
            </w:pPr>
            <w:r/>
            <w:r>
              <w:rPr>
                <w:rFonts w:ascii="Aptos" w:hAnsi="Aptos"/>
                <w:b w:val="0"/>
                <w:sz w:val="16"/>
              </w:rPr>
              <w:t>Simple survivorship logic</w:t>
            </w:r>
          </w:p>
        </w:tc>
        <w:tc>
          <w:tcPr>
            <w:tcW w:type="dxa" w:w="3312"/>
            <w:vAlign w:val="top"/>
            <w:tcMar>
              <w:top w:w="70" w:type="dxa"/>
              <w:start w:w="90" w:type="dxa"/>
              <w:bottom w:w="70" w:type="dxa"/>
              <w:end w:w="90" w:type="dxa"/>
            </w:tcMar>
          </w:tcPr>
          <w:p>
            <w:pPr>
              <w:spacing w:after="0"/>
            </w:pPr>
            <w:r/>
            <w:r>
              <w:rPr>
                <w:rFonts w:ascii="Aptos" w:hAnsi="Aptos"/>
                <w:b w:val="0"/>
                <w:sz w:val="16"/>
              </w:rPr>
              <w:t>Production MDM could require fuzzy matching, manual review and history.</w:t>
            </w:r>
          </w:p>
        </w:tc>
        <w:tc>
          <w:tcPr>
            <w:tcW w:type="dxa" w:w="4392"/>
            <w:vAlign w:val="top"/>
            <w:tcMar>
              <w:top w:w="70" w:type="dxa"/>
              <w:start w:w="90" w:type="dxa"/>
              <w:bottom w:w="70" w:type="dxa"/>
              <w:end w:w="90" w:type="dxa"/>
            </w:tcMar>
          </w:tcPr>
          <w:p>
            <w:pPr>
              <w:spacing w:after="0"/>
            </w:pPr>
            <w:r/>
            <w:r>
              <w:rPr>
                <w:rFonts w:ascii="Aptos" w:hAnsi="Aptos"/>
                <w:b w:val="0"/>
                <w:sz w:val="16"/>
              </w:rPr>
              <w:t>Document the portfolio logic and list production enhancements.</w:t>
            </w:r>
          </w:p>
        </w:tc>
      </w:tr>
    </w:tbl>
    <w:p>
      <w:pPr>
        <w:spacing w:after="0"/>
      </w:pPr>
    </w:p>
    <w:p>
      <w:pPr>
        <w:pStyle w:val="Heading1"/>
        <w:keepNext/>
        <w:spacing w:before="200" w:after="80"/>
      </w:pPr>
      <w:r>
        <w:t>13. Governance Operating Model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Activity</w:t>
            </w:r>
          </w:p>
        </w:tc>
        <w:tc>
          <w:tcPr>
            <w:tcW w:type="dxa" w:w="2448"/>
            <w:shd w:fill="1F4E78"/>
            <w:vAlign w:val="center"/>
            <w:tcMar>
              <w:top w:w="70" w:type="dxa"/>
              <w:start w:w="90" w:type="dxa"/>
              <w:bottom w:w="70" w:type="dxa"/>
              <w:end w:w="90" w:type="dxa"/>
            </w:tcMar>
          </w:tcPr>
          <w:p>
            <w:pPr>
              <w:spacing w:after="0"/>
            </w:pPr>
            <w:r/>
            <w:r>
              <w:rPr>
                <w:rFonts w:ascii="Aptos" w:hAnsi="Aptos"/>
                <w:b/>
                <w:color w:val="FFFFFF"/>
                <w:sz w:val="17"/>
              </w:rPr>
              <w:t>Data Owner</w:t>
            </w:r>
          </w:p>
        </w:tc>
        <w:tc>
          <w:tcPr>
            <w:tcW w:type="dxa" w:w="2448"/>
            <w:shd w:fill="1F4E78"/>
            <w:vAlign w:val="center"/>
            <w:tcMar>
              <w:top w:w="70" w:type="dxa"/>
              <w:start w:w="90" w:type="dxa"/>
              <w:bottom w:w="70" w:type="dxa"/>
              <w:end w:w="90" w:type="dxa"/>
            </w:tcMar>
          </w:tcPr>
          <w:p>
            <w:pPr>
              <w:spacing w:after="0"/>
            </w:pPr>
            <w:r/>
            <w:r>
              <w:rPr>
                <w:rFonts w:ascii="Aptos" w:hAnsi="Aptos"/>
                <w:b/>
                <w:color w:val="FFFFFF"/>
                <w:sz w:val="17"/>
              </w:rPr>
              <w:t>Data Steward</w:t>
            </w:r>
          </w:p>
        </w:tc>
        <w:tc>
          <w:tcPr>
            <w:tcW w:type="dxa" w:w="3168"/>
            <w:shd w:fill="1F4E78"/>
            <w:vAlign w:val="center"/>
            <w:tcMar>
              <w:top w:w="70" w:type="dxa"/>
              <w:start w:w="90" w:type="dxa"/>
              <w:bottom w:w="70" w:type="dxa"/>
              <w:end w:w="90" w:type="dxa"/>
            </w:tcMar>
          </w:tcPr>
          <w:p>
            <w:pPr>
              <w:spacing w:after="0"/>
            </w:pPr>
            <w:r/>
            <w:r>
              <w:rPr>
                <w:rFonts w:ascii="Aptos" w:hAnsi="Aptos"/>
                <w:b/>
                <w:color w:val="FFFFFF"/>
                <w:sz w:val="17"/>
              </w:rPr>
              <w:t>Engineering / BI</w:t>
            </w:r>
          </w:p>
        </w:tc>
      </w:tr>
      <w:tr>
        <w:tc>
          <w:tcPr>
            <w:tcW w:type="dxa" w:w="2880"/>
            <w:vAlign w:val="top"/>
            <w:tcMar>
              <w:top w:w="70" w:type="dxa"/>
              <w:start w:w="90" w:type="dxa"/>
              <w:bottom w:w="70" w:type="dxa"/>
              <w:end w:w="90" w:type="dxa"/>
            </w:tcMar>
          </w:tcPr>
          <w:p>
            <w:pPr>
              <w:spacing w:after="0"/>
            </w:pPr>
            <w:r/>
            <w:r>
              <w:rPr>
                <w:rFonts w:ascii="Aptos" w:hAnsi="Aptos"/>
                <w:b w:val="0"/>
                <w:sz w:val="16"/>
              </w:rPr>
              <w:t>Approve business definition</w:t>
            </w:r>
          </w:p>
        </w:tc>
        <w:tc>
          <w:tcPr>
            <w:tcW w:type="dxa" w:w="2448"/>
            <w:vAlign w:val="top"/>
            <w:tcMar>
              <w:top w:w="70" w:type="dxa"/>
              <w:start w:w="90" w:type="dxa"/>
              <w:bottom w:w="70" w:type="dxa"/>
              <w:end w:w="90" w:type="dxa"/>
            </w:tcMar>
          </w:tcPr>
          <w:p>
            <w:pPr>
              <w:spacing w:after="0"/>
            </w:pPr>
            <w:r/>
            <w:r>
              <w:rPr>
                <w:rFonts w:ascii="Aptos" w:hAnsi="Aptos"/>
                <w:b w:val="0"/>
                <w:sz w:val="16"/>
              </w:rPr>
              <w:t>Accountable</w:t>
            </w:r>
          </w:p>
        </w:tc>
        <w:tc>
          <w:tcPr>
            <w:tcW w:type="dxa" w:w="2448"/>
            <w:vAlign w:val="top"/>
            <w:tcMar>
              <w:top w:w="70" w:type="dxa"/>
              <w:start w:w="90" w:type="dxa"/>
              <w:bottom w:w="70" w:type="dxa"/>
              <w:end w:w="90" w:type="dxa"/>
            </w:tcMar>
          </w:tcPr>
          <w:p>
            <w:pPr>
              <w:spacing w:after="0"/>
            </w:pPr>
            <w:r/>
            <w:r>
              <w:rPr>
                <w:rFonts w:ascii="Aptos" w:hAnsi="Aptos"/>
                <w:b w:val="0"/>
                <w:sz w:val="16"/>
              </w:rPr>
              <w:t>Consulted</w:t>
            </w:r>
          </w:p>
        </w:tc>
        <w:tc>
          <w:tcPr>
            <w:tcW w:type="dxa" w:w="3168"/>
            <w:vAlign w:val="top"/>
            <w:tcMar>
              <w:top w:w="70" w:type="dxa"/>
              <w:start w:w="90" w:type="dxa"/>
              <w:bottom w:w="70" w:type="dxa"/>
              <w:end w:w="90" w:type="dxa"/>
            </w:tcMar>
          </w:tcPr>
          <w:p>
            <w:pPr>
              <w:spacing w:after="0"/>
            </w:pPr>
            <w:r/>
            <w:r>
              <w:rPr>
                <w:rFonts w:ascii="Aptos" w:hAnsi="Aptos"/>
                <w:b w:val="0"/>
                <w:sz w:val="16"/>
              </w:rPr>
              <w:t>Consulted</w:t>
            </w:r>
          </w:p>
        </w:tc>
      </w:tr>
      <w:tr>
        <w:tc>
          <w:tcPr>
            <w:tcW w:type="dxa" w:w="2880"/>
            <w:vAlign w:val="top"/>
            <w:tcMar>
              <w:top w:w="70" w:type="dxa"/>
              <w:start w:w="90" w:type="dxa"/>
              <w:bottom w:w="70" w:type="dxa"/>
              <w:end w:w="90" w:type="dxa"/>
            </w:tcMar>
          </w:tcPr>
          <w:p>
            <w:pPr>
              <w:spacing w:after="0"/>
            </w:pPr>
            <w:r/>
            <w:r>
              <w:rPr>
                <w:rFonts w:ascii="Aptos" w:hAnsi="Aptos"/>
                <w:b w:val="0"/>
                <w:sz w:val="16"/>
              </w:rPr>
              <w:t>Maintain glossary and metadata</w:t>
            </w:r>
          </w:p>
        </w:tc>
        <w:tc>
          <w:tcPr>
            <w:tcW w:type="dxa" w:w="2448"/>
            <w:vAlign w:val="top"/>
            <w:tcMar>
              <w:top w:w="70" w:type="dxa"/>
              <w:start w:w="90" w:type="dxa"/>
              <w:bottom w:w="70" w:type="dxa"/>
              <w:end w:w="90" w:type="dxa"/>
            </w:tcMar>
          </w:tcPr>
          <w:p>
            <w:pPr>
              <w:spacing w:after="0"/>
            </w:pPr>
            <w:r/>
            <w:r>
              <w:rPr>
                <w:rFonts w:ascii="Aptos" w:hAnsi="Aptos"/>
                <w:b w:val="0"/>
                <w:sz w:val="16"/>
              </w:rPr>
              <w:t>Approves</w:t>
            </w:r>
          </w:p>
        </w:tc>
        <w:tc>
          <w:tcPr>
            <w:tcW w:type="dxa" w:w="2448"/>
            <w:vAlign w:val="top"/>
            <w:tcMar>
              <w:top w:w="70" w:type="dxa"/>
              <w:start w:w="90" w:type="dxa"/>
              <w:bottom w:w="70" w:type="dxa"/>
              <w:end w:w="90" w:type="dxa"/>
            </w:tcMar>
          </w:tcPr>
          <w:p>
            <w:pPr>
              <w:spacing w:after="0"/>
            </w:pPr>
            <w:r/>
            <w:r>
              <w:rPr>
                <w:rFonts w:ascii="Aptos" w:hAnsi="Aptos"/>
                <w:b w:val="0"/>
                <w:sz w:val="16"/>
              </w:rPr>
              <w:t>Responsible</w:t>
            </w:r>
          </w:p>
        </w:tc>
        <w:tc>
          <w:tcPr>
            <w:tcW w:type="dxa" w:w="3168"/>
            <w:vAlign w:val="top"/>
            <w:tcMar>
              <w:top w:w="70" w:type="dxa"/>
              <w:start w:w="90" w:type="dxa"/>
              <w:bottom w:w="70" w:type="dxa"/>
              <w:end w:w="90" w:type="dxa"/>
            </w:tcMar>
          </w:tcPr>
          <w:p>
            <w:pPr>
              <w:spacing w:after="0"/>
            </w:pPr>
            <w:r/>
            <w:r>
              <w:rPr>
                <w:rFonts w:ascii="Aptos" w:hAnsi="Aptos"/>
                <w:b w:val="0"/>
                <w:sz w:val="16"/>
              </w:rPr>
              <w:t>Supports technical metadata</w:t>
            </w:r>
          </w:p>
        </w:tc>
      </w:tr>
      <w:tr>
        <w:tc>
          <w:tcPr>
            <w:tcW w:type="dxa" w:w="2880"/>
            <w:vAlign w:val="top"/>
            <w:tcMar>
              <w:top w:w="70" w:type="dxa"/>
              <w:start w:w="90" w:type="dxa"/>
              <w:bottom w:w="70" w:type="dxa"/>
              <w:end w:w="90" w:type="dxa"/>
            </w:tcMar>
          </w:tcPr>
          <w:p>
            <w:pPr>
              <w:spacing w:after="0"/>
            </w:pPr>
            <w:r/>
            <w:r>
              <w:rPr>
                <w:rFonts w:ascii="Aptos" w:hAnsi="Aptos"/>
                <w:b w:val="0"/>
                <w:sz w:val="16"/>
              </w:rPr>
              <w:t>Define DQ thresholds and severity</w:t>
            </w:r>
          </w:p>
        </w:tc>
        <w:tc>
          <w:tcPr>
            <w:tcW w:type="dxa" w:w="2448"/>
            <w:vAlign w:val="top"/>
            <w:tcMar>
              <w:top w:w="70" w:type="dxa"/>
              <w:start w:w="90" w:type="dxa"/>
              <w:bottom w:w="70" w:type="dxa"/>
              <w:end w:w="90" w:type="dxa"/>
            </w:tcMar>
          </w:tcPr>
          <w:p>
            <w:pPr>
              <w:spacing w:after="0"/>
            </w:pPr>
            <w:r/>
            <w:r>
              <w:rPr>
                <w:rFonts w:ascii="Aptos" w:hAnsi="Aptos"/>
                <w:b w:val="0"/>
                <w:sz w:val="16"/>
              </w:rPr>
              <w:t>Accountable</w:t>
            </w:r>
          </w:p>
        </w:tc>
        <w:tc>
          <w:tcPr>
            <w:tcW w:type="dxa" w:w="2448"/>
            <w:vAlign w:val="top"/>
            <w:tcMar>
              <w:top w:w="70" w:type="dxa"/>
              <w:start w:w="90" w:type="dxa"/>
              <w:bottom w:w="70" w:type="dxa"/>
              <w:end w:w="90" w:type="dxa"/>
            </w:tcMar>
          </w:tcPr>
          <w:p>
            <w:pPr>
              <w:spacing w:after="0"/>
            </w:pPr>
            <w:r/>
            <w:r>
              <w:rPr>
                <w:rFonts w:ascii="Aptos" w:hAnsi="Aptos"/>
                <w:b w:val="0"/>
                <w:sz w:val="16"/>
              </w:rPr>
              <w:t>Responsible</w:t>
            </w:r>
          </w:p>
        </w:tc>
        <w:tc>
          <w:tcPr>
            <w:tcW w:type="dxa" w:w="3168"/>
            <w:vAlign w:val="top"/>
            <w:tcMar>
              <w:top w:w="70" w:type="dxa"/>
              <w:start w:w="90" w:type="dxa"/>
              <w:bottom w:w="70" w:type="dxa"/>
              <w:end w:w="90" w:type="dxa"/>
            </w:tcMar>
          </w:tcPr>
          <w:p>
            <w:pPr>
              <w:spacing w:after="0"/>
            </w:pPr>
            <w:r/>
            <w:r>
              <w:rPr>
                <w:rFonts w:ascii="Aptos" w:hAnsi="Aptos"/>
                <w:b w:val="0"/>
                <w:sz w:val="16"/>
              </w:rPr>
              <w:t>Implements</w:t>
            </w:r>
          </w:p>
        </w:tc>
      </w:tr>
      <w:tr>
        <w:tc>
          <w:tcPr>
            <w:tcW w:type="dxa" w:w="2880"/>
            <w:vAlign w:val="top"/>
            <w:tcMar>
              <w:top w:w="70" w:type="dxa"/>
              <w:start w:w="90" w:type="dxa"/>
              <w:bottom w:w="70" w:type="dxa"/>
              <w:end w:w="90" w:type="dxa"/>
            </w:tcMar>
          </w:tcPr>
          <w:p>
            <w:pPr>
              <w:spacing w:after="0"/>
            </w:pPr>
            <w:r/>
            <w:r>
              <w:rPr>
                <w:rFonts w:ascii="Aptos" w:hAnsi="Aptos"/>
                <w:b w:val="0"/>
                <w:sz w:val="16"/>
              </w:rPr>
              <w:t>Monitor DQ results</w:t>
            </w:r>
          </w:p>
        </w:tc>
        <w:tc>
          <w:tcPr>
            <w:tcW w:type="dxa" w:w="2448"/>
            <w:vAlign w:val="top"/>
            <w:tcMar>
              <w:top w:w="70" w:type="dxa"/>
              <w:start w:w="90" w:type="dxa"/>
              <w:bottom w:w="70" w:type="dxa"/>
              <w:end w:w="90" w:type="dxa"/>
            </w:tcMar>
          </w:tcPr>
          <w:p>
            <w:pPr>
              <w:spacing w:after="0"/>
            </w:pPr>
            <w:r/>
            <w:r>
              <w:rPr>
                <w:rFonts w:ascii="Aptos" w:hAnsi="Aptos"/>
                <w:b w:val="0"/>
                <w:sz w:val="16"/>
              </w:rPr>
              <w:t>Informed / escalated</w:t>
            </w:r>
          </w:p>
        </w:tc>
        <w:tc>
          <w:tcPr>
            <w:tcW w:type="dxa" w:w="2448"/>
            <w:vAlign w:val="top"/>
            <w:tcMar>
              <w:top w:w="70" w:type="dxa"/>
              <w:start w:w="90" w:type="dxa"/>
              <w:bottom w:w="70" w:type="dxa"/>
              <w:end w:w="90" w:type="dxa"/>
            </w:tcMar>
          </w:tcPr>
          <w:p>
            <w:pPr>
              <w:spacing w:after="0"/>
            </w:pPr>
            <w:r/>
            <w:r>
              <w:rPr>
                <w:rFonts w:ascii="Aptos" w:hAnsi="Aptos"/>
                <w:b w:val="0"/>
                <w:sz w:val="16"/>
              </w:rPr>
              <w:t>Responsible</w:t>
            </w:r>
          </w:p>
        </w:tc>
        <w:tc>
          <w:tcPr>
            <w:tcW w:type="dxa" w:w="3168"/>
            <w:vAlign w:val="top"/>
            <w:tcMar>
              <w:top w:w="70" w:type="dxa"/>
              <w:start w:w="90" w:type="dxa"/>
              <w:bottom w:w="70" w:type="dxa"/>
              <w:end w:w="90" w:type="dxa"/>
            </w:tcMar>
          </w:tcPr>
          <w:p>
            <w:pPr>
              <w:spacing w:after="0"/>
            </w:pPr>
            <w:r/>
            <w:r>
              <w:rPr>
                <w:rFonts w:ascii="Aptos" w:hAnsi="Aptos"/>
                <w:b w:val="0"/>
                <w:sz w:val="16"/>
              </w:rPr>
              <w:t>Supports diagnosis</w:t>
            </w:r>
          </w:p>
        </w:tc>
      </w:tr>
      <w:tr>
        <w:tc>
          <w:tcPr>
            <w:tcW w:type="dxa" w:w="2880"/>
            <w:vAlign w:val="top"/>
            <w:tcMar>
              <w:top w:w="70" w:type="dxa"/>
              <w:start w:w="90" w:type="dxa"/>
              <w:bottom w:w="70" w:type="dxa"/>
              <w:end w:w="90" w:type="dxa"/>
            </w:tcMar>
          </w:tcPr>
          <w:p>
            <w:pPr>
              <w:spacing w:after="0"/>
            </w:pPr>
            <w:r/>
            <w:r>
              <w:rPr>
                <w:rFonts w:ascii="Aptos" w:hAnsi="Aptos"/>
                <w:b w:val="0"/>
                <w:sz w:val="16"/>
              </w:rPr>
              <w:t>Root cause analysis</w:t>
            </w:r>
          </w:p>
        </w:tc>
        <w:tc>
          <w:tcPr>
            <w:tcW w:type="dxa" w:w="2448"/>
            <w:vAlign w:val="top"/>
            <w:tcMar>
              <w:top w:w="70" w:type="dxa"/>
              <w:start w:w="90" w:type="dxa"/>
              <w:bottom w:w="70" w:type="dxa"/>
              <w:end w:w="90" w:type="dxa"/>
            </w:tcMar>
          </w:tcPr>
          <w:p>
            <w:pPr>
              <w:spacing w:after="0"/>
            </w:pPr>
            <w:r/>
            <w:r>
              <w:rPr>
                <w:rFonts w:ascii="Aptos" w:hAnsi="Aptos"/>
                <w:b w:val="0"/>
                <w:sz w:val="16"/>
              </w:rPr>
              <w:t>Consulted</w:t>
            </w:r>
          </w:p>
        </w:tc>
        <w:tc>
          <w:tcPr>
            <w:tcW w:type="dxa" w:w="2448"/>
            <w:vAlign w:val="top"/>
            <w:tcMar>
              <w:top w:w="70" w:type="dxa"/>
              <w:start w:w="90" w:type="dxa"/>
              <w:bottom w:w="70" w:type="dxa"/>
              <w:end w:w="90" w:type="dxa"/>
            </w:tcMar>
          </w:tcPr>
          <w:p>
            <w:pPr>
              <w:spacing w:after="0"/>
            </w:pPr>
            <w:r/>
            <w:r>
              <w:rPr>
                <w:rFonts w:ascii="Aptos" w:hAnsi="Aptos"/>
                <w:b w:val="0"/>
                <w:sz w:val="16"/>
              </w:rPr>
              <w:t>Coordinates</w:t>
            </w:r>
          </w:p>
        </w:tc>
        <w:tc>
          <w:tcPr>
            <w:tcW w:type="dxa" w:w="3168"/>
            <w:vAlign w:val="top"/>
            <w:tcMar>
              <w:top w:w="70" w:type="dxa"/>
              <w:start w:w="90" w:type="dxa"/>
              <w:bottom w:w="70" w:type="dxa"/>
              <w:end w:w="90" w:type="dxa"/>
            </w:tcMar>
          </w:tcPr>
          <w:p>
            <w:pPr>
              <w:spacing w:after="0"/>
            </w:pPr>
            <w:r/>
            <w:r>
              <w:rPr>
                <w:rFonts w:ascii="Aptos" w:hAnsi="Aptos"/>
                <w:b w:val="0"/>
                <w:sz w:val="16"/>
              </w:rPr>
              <w:t>Investigates technical causes</w:t>
            </w:r>
          </w:p>
        </w:tc>
      </w:tr>
      <w:tr>
        <w:tc>
          <w:tcPr>
            <w:tcW w:type="dxa" w:w="2880"/>
            <w:vAlign w:val="top"/>
            <w:tcMar>
              <w:top w:w="70" w:type="dxa"/>
              <w:start w:w="90" w:type="dxa"/>
              <w:bottom w:w="70" w:type="dxa"/>
              <w:end w:w="90" w:type="dxa"/>
            </w:tcMar>
          </w:tcPr>
          <w:p>
            <w:pPr>
              <w:spacing w:after="0"/>
            </w:pPr>
            <w:r/>
            <w:r>
              <w:rPr>
                <w:rFonts w:ascii="Aptos" w:hAnsi="Aptos"/>
                <w:b w:val="0"/>
                <w:sz w:val="16"/>
              </w:rPr>
              <w:t>Source remediation</w:t>
            </w:r>
          </w:p>
        </w:tc>
        <w:tc>
          <w:tcPr>
            <w:tcW w:type="dxa" w:w="2448"/>
            <w:vAlign w:val="top"/>
            <w:tcMar>
              <w:top w:w="70" w:type="dxa"/>
              <w:start w:w="90" w:type="dxa"/>
              <w:bottom w:w="70" w:type="dxa"/>
              <w:end w:w="90" w:type="dxa"/>
            </w:tcMar>
          </w:tcPr>
          <w:p>
            <w:pPr>
              <w:spacing w:after="0"/>
            </w:pPr>
            <w:r/>
            <w:r>
              <w:rPr>
                <w:rFonts w:ascii="Aptos" w:hAnsi="Aptos"/>
                <w:b w:val="0"/>
                <w:sz w:val="16"/>
              </w:rPr>
              <w:t>Accountable through source owner</w:t>
            </w:r>
          </w:p>
        </w:tc>
        <w:tc>
          <w:tcPr>
            <w:tcW w:type="dxa" w:w="2448"/>
            <w:vAlign w:val="top"/>
            <w:tcMar>
              <w:top w:w="70" w:type="dxa"/>
              <w:start w:w="90" w:type="dxa"/>
              <w:bottom w:w="70" w:type="dxa"/>
              <w:end w:w="90" w:type="dxa"/>
            </w:tcMar>
          </w:tcPr>
          <w:p>
            <w:pPr>
              <w:spacing w:after="0"/>
            </w:pPr>
            <w:r/>
            <w:r>
              <w:rPr>
                <w:rFonts w:ascii="Aptos" w:hAnsi="Aptos"/>
                <w:b w:val="0"/>
                <w:sz w:val="16"/>
              </w:rPr>
              <w:t>Tracks and validates</w:t>
            </w:r>
          </w:p>
        </w:tc>
        <w:tc>
          <w:tcPr>
            <w:tcW w:type="dxa" w:w="3168"/>
            <w:vAlign w:val="top"/>
            <w:tcMar>
              <w:top w:w="70" w:type="dxa"/>
              <w:start w:w="90" w:type="dxa"/>
              <w:bottom w:w="70" w:type="dxa"/>
              <w:end w:w="90" w:type="dxa"/>
            </w:tcMar>
          </w:tcPr>
          <w:p>
            <w:pPr>
              <w:spacing w:after="0"/>
            </w:pPr>
            <w:r/>
            <w:r>
              <w:rPr>
                <w:rFonts w:ascii="Aptos" w:hAnsi="Aptos"/>
                <w:b w:val="0"/>
                <w:sz w:val="16"/>
              </w:rPr>
              <w:t>Implements where technical</w:t>
            </w:r>
          </w:p>
        </w:tc>
      </w:tr>
      <w:tr>
        <w:tc>
          <w:tcPr>
            <w:tcW w:type="dxa" w:w="2880"/>
            <w:vAlign w:val="top"/>
            <w:tcMar>
              <w:top w:w="70" w:type="dxa"/>
              <w:start w:w="90" w:type="dxa"/>
              <w:bottom w:w="70" w:type="dxa"/>
              <w:end w:w="90" w:type="dxa"/>
            </w:tcMar>
          </w:tcPr>
          <w:p>
            <w:pPr>
              <w:spacing w:after="0"/>
            </w:pPr>
            <w:r/>
            <w:r>
              <w:rPr>
                <w:rFonts w:ascii="Aptos" w:hAnsi="Aptos"/>
                <w:b w:val="0"/>
                <w:sz w:val="16"/>
              </w:rPr>
              <w:t>Close issue</w:t>
            </w:r>
          </w:p>
        </w:tc>
        <w:tc>
          <w:tcPr>
            <w:tcW w:type="dxa" w:w="2448"/>
            <w:vAlign w:val="top"/>
            <w:tcMar>
              <w:top w:w="70" w:type="dxa"/>
              <w:start w:w="90" w:type="dxa"/>
              <w:bottom w:w="70" w:type="dxa"/>
              <w:end w:w="90" w:type="dxa"/>
            </w:tcMar>
          </w:tcPr>
          <w:p>
            <w:pPr>
              <w:spacing w:after="0"/>
            </w:pPr>
            <w:r/>
            <w:r>
              <w:rPr>
                <w:rFonts w:ascii="Aptos" w:hAnsi="Aptos"/>
                <w:b w:val="0"/>
                <w:sz w:val="16"/>
              </w:rPr>
              <w:t>Approves critical issues</w:t>
            </w:r>
          </w:p>
        </w:tc>
        <w:tc>
          <w:tcPr>
            <w:tcW w:type="dxa" w:w="2448"/>
            <w:vAlign w:val="top"/>
            <w:tcMar>
              <w:top w:w="70" w:type="dxa"/>
              <w:start w:w="90" w:type="dxa"/>
              <w:bottom w:w="70" w:type="dxa"/>
              <w:end w:w="90" w:type="dxa"/>
            </w:tcMar>
          </w:tcPr>
          <w:p>
            <w:pPr>
              <w:spacing w:after="0"/>
            </w:pPr>
            <w:r/>
            <w:r>
              <w:rPr>
                <w:rFonts w:ascii="Aptos" w:hAnsi="Aptos"/>
                <w:b w:val="0"/>
                <w:sz w:val="16"/>
              </w:rPr>
              <w:t>Validates rerun and closes</w:t>
            </w:r>
          </w:p>
        </w:tc>
        <w:tc>
          <w:tcPr>
            <w:tcW w:type="dxa" w:w="3168"/>
            <w:vAlign w:val="top"/>
            <w:tcMar>
              <w:top w:w="70" w:type="dxa"/>
              <w:start w:w="90" w:type="dxa"/>
              <w:bottom w:w="70" w:type="dxa"/>
              <w:end w:w="90" w:type="dxa"/>
            </w:tcMar>
          </w:tcPr>
          <w:p>
            <w:pPr>
              <w:spacing w:after="0"/>
            </w:pPr>
            <w:r/>
            <w:r>
              <w:rPr>
                <w:rFonts w:ascii="Aptos" w:hAnsi="Aptos"/>
                <w:b w:val="0"/>
                <w:sz w:val="16"/>
              </w:rPr>
              <w:t>Provides evidence</w:t>
            </w:r>
          </w:p>
        </w:tc>
      </w:tr>
      <w:tr>
        <w:tc>
          <w:tcPr>
            <w:tcW w:type="dxa" w:w="2880"/>
            <w:vAlign w:val="top"/>
            <w:tcMar>
              <w:top w:w="70" w:type="dxa"/>
              <w:start w:w="90" w:type="dxa"/>
              <w:bottom w:w="70" w:type="dxa"/>
              <w:end w:w="90" w:type="dxa"/>
            </w:tcMar>
          </w:tcPr>
          <w:p>
            <w:pPr>
              <w:spacing w:after="0"/>
            </w:pPr>
            <w:r/>
            <w:r>
              <w:rPr>
                <w:rFonts w:ascii="Aptos" w:hAnsi="Aptos"/>
                <w:b w:val="0"/>
                <w:sz w:val="16"/>
              </w:rPr>
              <w:t>Approve KPI logic</w:t>
            </w:r>
          </w:p>
        </w:tc>
        <w:tc>
          <w:tcPr>
            <w:tcW w:type="dxa" w:w="2448"/>
            <w:vAlign w:val="top"/>
            <w:tcMar>
              <w:top w:w="70" w:type="dxa"/>
              <w:start w:w="90" w:type="dxa"/>
              <w:bottom w:w="70" w:type="dxa"/>
              <w:end w:w="90" w:type="dxa"/>
            </w:tcMar>
          </w:tcPr>
          <w:p>
            <w:pPr>
              <w:spacing w:after="0"/>
            </w:pPr>
            <w:r/>
            <w:r>
              <w:rPr>
                <w:rFonts w:ascii="Aptos" w:hAnsi="Aptos"/>
                <w:b w:val="0"/>
                <w:sz w:val="16"/>
              </w:rPr>
              <w:t>Sales Reporting Owner accountable</w:t>
            </w:r>
          </w:p>
        </w:tc>
        <w:tc>
          <w:tcPr>
            <w:tcW w:type="dxa" w:w="2448"/>
            <w:vAlign w:val="top"/>
            <w:tcMar>
              <w:top w:w="70" w:type="dxa"/>
              <w:start w:w="90" w:type="dxa"/>
              <w:bottom w:w="70" w:type="dxa"/>
              <w:end w:w="90" w:type="dxa"/>
            </w:tcMar>
          </w:tcPr>
          <w:p>
            <w:pPr>
              <w:spacing w:after="0"/>
            </w:pPr>
            <w:r/>
            <w:r>
              <w:rPr>
                <w:rFonts w:ascii="Aptos" w:hAnsi="Aptos"/>
                <w:b w:val="0"/>
                <w:sz w:val="16"/>
              </w:rPr>
              <w:t>Consulted</w:t>
            </w:r>
          </w:p>
        </w:tc>
        <w:tc>
          <w:tcPr>
            <w:tcW w:type="dxa" w:w="3168"/>
            <w:vAlign w:val="top"/>
            <w:tcMar>
              <w:top w:w="70" w:type="dxa"/>
              <w:start w:w="90" w:type="dxa"/>
              <w:bottom w:w="70" w:type="dxa"/>
              <w:end w:w="90" w:type="dxa"/>
            </w:tcMar>
          </w:tcPr>
          <w:p>
            <w:pPr>
              <w:spacing w:after="0"/>
            </w:pPr>
            <w:r/>
            <w:r>
              <w:rPr>
                <w:rFonts w:ascii="Aptos" w:hAnsi="Aptos"/>
                <w:b w:val="0"/>
                <w:sz w:val="16"/>
              </w:rPr>
              <w:t>Implements and tests</w:t>
            </w:r>
          </w:p>
        </w:tc>
      </w:tr>
    </w:tbl>
    <w:p>
      <w:pPr>
        <w:spacing w:after="0"/>
      </w:pPr>
    </w:p>
    <w:p>
      <w:pPr>
        <w:pStyle w:val="Heading2"/>
        <w:keepNext/>
        <w:spacing w:before="200" w:after="80"/>
      </w:pPr>
      <w:r>
        <w:t>13.1 DQ Issue Lifecycle</w:t>
      </w:r>
    </w:p>
    <w:p>
      <w:pPr>
        <w:pStyle w:val="ListNumber"/>
        <w:spacing w:after="60"/>
      </w:pPr>
      <w:r>
        <w:rPr>
          <w:sz w:val="21"/>
        </w:rPr>
        <w:t>A scheduled or manually triggered DQ run identifies a failed rule.</w:t>
      </w:r>
    </w:p>
    <w:p>
      <w:pPr>
        <w:pStyle w:val="ListNumber"/>
        <w:spacing w:after="60"/>
      </w:pPr>
      <w:r>
        <w:rPr>
          <w:sz w:val="21"/>
        </w:rPr>
        <w:t>The issue is classified by domain, severity, affected asset and failed-record count.</w:t>
      </w:r>
    </w:p>
    <w:p>
      <w:pPr>
        <w:pStyle w:val="ListNumber"/>
        <w:spacing w:after="60"/>
      </w:pPr>
      <w:r>
        <w:rPr>
          <w:sz w:val="21"/>
        </w:rPr>
        <w:t>The Data Steward reviews affected records and assesses business impact.</w:t>
      </w:r>
    </w:p>
    <w:p>
      <w:pPr>
        <w:pStyle w:val="ListNumber"/>
        <w:spacing w:after="60"/>
      </w:pPr>
      <w:r>
        <w:rPr>
          <w:sz w:val="21"/>
        </w:rPr>
        <w:t>Root cause is assigned to a source process, reference-data issue or transformation defect.</w:t>
      </w:r>
    </w:p>
    <w:p>
      <w:pPr>
        <w:pStyle w:val="ListNumber"/>
        <w:spacing w:after="60"/>
      </w:pPr>
      <w:r>
        <w:rPr>
          <w:sz w:val="21"/>
        </w:rPr>
        <w:t>A remediation owner and target date are agreed.</w:t>
      </w:r>
    </w:p>
    <w:p>
      <w:pPr>
        <w:pStyle w:val="ListNumber"/>
        <w:spacing w:after="60"/>
      </w:pPr>
      <w:r>
        <w:rPr>
          <w:sz w:val="21"/>
        </w:rPr>
        <w:t>The source data or transformation is corrected.</w:t>
      </w:r>
    </w:p>
    <w:p>
      <w:pPr>
        <w:pStyle w:val="ListNumber"/>
        <w:spacing w:after="60"/>
      </w:pPr>
      <w:r>
        <w:rPr>
          <w:sz w:val="21"/>
        </w:rPr>
        <w:t>The DQ rule is rerun and evidence is reviewed.</w:t>
      </w:r>
    </w:p>
    <w:p>
      <w:pPr>
        <w:pStyle w:val="ListNumber"/>
        <w:spacing w:after="60"/>
      </w:pPr>
      <w:r>
        <w:rPr>
          <w:sz w:val="21"/>
        </w:rPr>
        <w:t>The Data Owner or Steward closes the issue according to severity and governance policy.</w:t>
      </w:r>
    </w:p>
    <w:p>
      <w:pPr>
        <w:pStyle w:val="Heading1"/>
        <w:keepNext/>
        <w:spacing w:before="200" w:after="80"/>
      </w:pPr>
      <w:r>
        <w:t>14. Requirements Traceability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584"/>
            <w:shd w:fill="1F4E78"/>
            <w:vAlign w:val="center"/>
            <w:tcMar>
              <w:top w:w="70" w:type="dxa"/>
              <w:start w:w="90" w:type="dxa"/>
              <w:bottom w:w="70" w:type="dxa"/>
              <w:end w:w="90" w:type="dxa"/>
            </w:tcMar>
          </w:tcPr>
          <w:p>
            <w:pPr>
              <w:spacing w:after="0"/>
            </w:pPr>
            <w:r/>
            <w:r>
              <w:rPr>
                <w:rFonts w:ascii="Aptos" w:hAnsi="Aptos"/>
                <w:b/>
                <w:color w:val="FFFFFF"/>
                <w:sz w:val="17"/>
              </w:rPr>
              <w:t>Requirements</w:t>
            </w:r>
          </w:p>
        </w:tc>
        <w:tc>
          <w:tcPr>
            <w:tcW w:type="dxa" w:w="1944"/>
            <w:shd w:fill="1F4E78"/>
            <w:vAlign w:val="center"/>
            <w:tcMar>
              <w:top w:w="70" w:type="dxa"/>
              <w:start w:w="90" w:type="dxa"/>
              <w:bottom w:w="70" w:type="dxa"/>
              <w:end w:w="90" w:type="dxa"/>
            </w:tcMar>
          </w:tcPr>
          <w:p>
            <w:pPr>
              <w:spacing w:after="0"/>
            </w:pPr>
            <w:r/>
            <w:r>
              <w:rPr>
                <w:rFonts w:ascii="Aptos" w:hAnsi="Aptos"/>
                <w:b/>
                <w:color w:val="FFFFFF"/>
                <w:sz w:val="17"/>
              </w:rPr>
              <w:t>Primary source</w:t>
            </w:r>
          </w:p>
        </w:tc>
        <w:tc>
          <w:tcPr>
            <w:tcW w:type="dxa" w:w="2448"/>
            <w:shd w:fill="1F4E78"/>
            <w:vAlign w:val="center"/>
            <w:tcMar>
              <w:top w:w="70" w:type="dxa"/>
              <w:start w:w="90" w:type="dxa"/>
              <w:bottom w:w="70" w:type="dxa"/>
              <w:end w:w="90" w:type="dxa"/>
            </w:tcMar>
          </w:tcPr>
          <w:p>
            <w:pPr>
              <w:spacing w:after="0"/>
            </w:pPr>
            <w:r/>
            <w:r>
              <w:rPr>
                <w:rFonts w:ascii="Aptos" w:hAnsi="Aptos"/>
                <w:b/>
                <w:color w:val="FFFFFF"/>
                <w:sz w:val="17"/>
              </w:rPr>
              <w:t>Transformation / rule</w:t>
            </w:r>
          </w:p>
        </w:tc>
        <w:tc>
          <w:tcPr>
            <w:tcW w:type="dxa" w:w="1944"/>
            <w:shd w:fill="1F4E78"/>
            <w:vAlign w:val="center"/>
            <w:tcMar>
              <w:top w:w="70" w:type="dxa"/>
              <w:start w:w="90" w:type="dxa"/>
              <w:bottom w:w="70" w:type="dxa"/>
              <w:end w:w="90" w:type="dxa"/>
            </w:tcMar>
          </w:tcPr>
          <w:p>
            <w:pPr>
              <w:spacing w:after="0"/>
            </w:pPr>
            <w:r/>
            <w:r>
              <w:rPr>
                <w:rFonts w:ascii="Aptos" w:hAnsi="Aptos"/>
                <w:b/>
                <w:color w:val="FFFFFF"/>
                <w:sz w:val="17"/>
              </w:rPr>
              <w:t>DQ controls</w:t>
            </w:r>
          </w:p>
        </w:tc>
        <w:tc>
          <w:tcPr>
            <w:tcW w:type="dxa" w:w="2232"/>
            <w:shd w:fill="1F4E78"/>
            <w:vAlign w:val="center"/>
            <w:tcMar>
              <w:top w:w="70" w:type="dxa"/>
              <w:start w:w="90" w:type="dxa"/>
              <w:bottom w:w="70" w:type="dxa"/>
              <w:end w:w="90" w:type="dxa"/>
            </w:tcMar>
          </w:tcPr>
          <w:p>
            <w:pPr>
              <w:spacing w:after="0"/>
            </w:pPr>
            <w:r/>
            <w:r>
              <w:rPr>
                <w:rFonts w:ascii="Aptos" w:hAnsi="Aptos"/>
                <w:b/>
                <w:color w:val="FFFFFF"/>
                <w:sz w:val="17"/>
              </w:rPr>
              <w:t>Output asset</w:t>
            </w:r>
          </w:p>
        </w:tc>
        <w:tc>
          <w:tcPr>
            <w:tcW w:type="dxa" w:w="2232"/>
            <w:shd w:fill="1F4E78"/>
            <w:vAlign w:val="center"/>
            <w:tcMar>
              <w:top w:w="70" w:type="dxa"/>
              <w:start w:w="90" w:type="dxa"/>
              <w:bottom w:w="70" w:type="dxa"/>
              <w:end w:w="90" w:type="dxa"/>
            </w:tcMar>
          </w:tcPr>
          <w:p>
            <w:pPr>
              <w:spacing w:after="0"/>
            </w:pPr>
            <w:r/>
            <w:r>
              <w:rPr>
                <w:rFonts w:ascii="Aptos" w:hAnsi="Aptos"/>
                <w:b/>
                <w:color w:val="FFFFFF"/>
                <w:sz w:val="17"/>
              </w:rPr>
              <w:t>Consumer</w:t>
            </w:r>
          </w:p>
        </w:tc>
      </w:tr>
      <w:tr>
        <w:tc>
          <w:tcPr>
            <w:tcW w:type="dxa" w:w="1584"/>
            <w:vAlign w:val="top"/>
            <w:tcMar>
              <w:top w:w="70" w:type="dxa"/>
              <w:start w:w="90" w:type="dxa"/>
              <w:bottom w:w="70" w:type="dxa"/>
              <w:end w:w="90" w:type="dxa"/>
            </w:tcMar>
          </w:tcPr>
          <w:p>
            <w:pPr>
              <w:spacing w:after="0"/>
            </w:pPr>
            <w:r/>
            <w:r>
              <w:rPr>
                <w:rFonts w:ascii="Aptos" w:hAnsi="Aptos"/>
                <w:b w:val="0"/>
                <w:sz w:val="15"/>
              </w:rPr>
              <w:t>BR-001–BR-008</w:t>
            </w:r>
          </w:p>
        </w:tc>
        <w:tc>
          <w:tcPr>
            <w:tcW w:type="dxa" w:w="1944"/>
            <w:vAlign w:val="top"/>
            <w:tcMar>
              <w:top w:w="70" w:type="dxa"/>
              <w:start w:w="90" w:type="dxa"/>
              <w:bottom w:w="70" w:type="dxa"/>
              <w:end w:w="90" w:type="dxa"/>
            </w:tcMar>
          </w:tcPr>
          <w:p>
            <w:pPr>
              <w:spacing w:after="0"/>
            </w:pPr>
            <w:r/>
            <w:r>
              <w:rPr>
                <w:rFonts w:ascii="Aptos" w:hAnsi="Aptos"/>
                <w:b w:val="0"/>
                <w:sz w:val="15"/>
              </w:rPr>
              <w:t>Registry, CRM and KYC Silver tables</w:t>
            </w:r>
          </w:p>
        </w:tc>
        <w:tc>
          <w:tcPr>
            <w:tcW w:type="dxa" w:w="2448"/>
            <w:vAlign w:val="top"/>
            <w:tcMar>
              <w:top w:w="70" w:type="dxa"/>
              <w:start w:w="90" w:type="dxa"/>
              <w:bottom w:w="70" w:type="dxa"/>
              <w:end w:w="90" w:type="dxa"/>
            </w:tcMar>
          </w:tcPr>
          <w:p>
            <w:pPr>
              <w:spacing w:after="0"/>
            </w:pPr>
            <w:r/>
            <w:r>
              <w:rPr>
                <w:rFonts w:ascii="Aptos" w:hAnsi="Aptos"/>
                <w:b w:val="0"/>
                <w:sz w:val="15"/>
              </w:rPr>
              <w:t>Golden-record survivorship and validation</w:t>
            </w:r>
          </w:p>
        </w:tc>
        <w:tc>
          <w:tcPr>
            <w:tcW w:type="dxa" w:w="1944"/>
            <w:vAlign w:val="top"/>
            <w:tcMar>
              <w:top w:w="70" w:type="dxa"/>
              <w:start w:w="90" w:type="dxa"/>
              <w:bottom w:w="70" w:type="dxa"/>
              <w:end w:w="90" w:type="dxa"/>
            </w:tcMar>
          </w:tcPr>
          <w:p>
            <w:pPr>
              <w:spacing w:after="0"/>
            </w:pPr>
            <w:r/>
            <w:r>
              <w:rPr>
                <w:rFonts w:ascii="Aptos" w:hAnsi="Aptos"/>
                <w:b w:val="0"/>
                <w:sz w:val="15"/>
              </w:rPr>
              <w:t>DQ-LE-001–006</w:t>
            </w:r>
          </w:p>
        </w:tc>
        <w:tc>
          <w:tcPr>
            <w:tcW w:type="dxa" w:w="2232"/>
            <w:vAlign w:val="top"/>
            <w:tcMar>
              <w:top w:w="70" w:type="dxa"/>
              <w:start w:w="90" w:type="dxa"/>
              <w:bottom w:w="70" w:type="dxa"/>
              <w:end w:w="90" w:type="dxa"/>
            </w:tcMar>
          </w:tcPr>
          <w:p>
            <w:pPr>
              <w:spacing w:after="0"/>
            </w:pPr>
            <w:r/>
            <w:r>
              <w:rPr>
                <w:rFonts w:ascii="Aptos" w:hAnsi="Aptos"/>
                <w:b w:val="0"/>
                <w:sz w:val="15"/>
              </w:rPr>
              <w:t>gold.dim_legal_entity_golden</w:t>
            </w:r>
          </w:p>
        </w:tc>
        <w:tc>
          <w:tcPr>
            <w:tcW w:type="dxa" w:w="2232"/>
            <w:vAlign w:val="top"/>
            <w:tcMar>
              <w:top w:w="70" w:type="dxa"/>
              <w:start w:w="90" w:type="dxa"/>
              <w:bottom w:w="70" w:type="dxa"/>
              <w:end w:w="90" w:type="dxa"/>
            </w:tcMar>
          </w:tcPr>
          <w:p>
            <w:pPr>
              <w:spacing w:after="0"/>
            </w:pPr>
            <w:r/>
            <w:r>
              <w:rPr>
                <w:rFonts w:ascii="Aptos" w:hAnsi="Aptos"/>
                <w:b w:val="0"/>
                <w:sz w:val="15"/>
              </w:rPr>
              <w:t>DQ Report / future Legal Entity quality view</w:t>
            </w:r>
          </w:p>
        </w:tc>
      </w:tr>
      <w:tr>
        <w:tc>
          <w:tcPr>
            <w:tcW w:type="dxa" w:w="1584"/>
            <w:vAlign w:val="top"/>
            <w:tcMar>
              <w:top w:w="70" w:type="dxa"/>
              <w:start w:w="90" w:type="dxa"/>
              <w:bottom w:w="70" w:type="dxa"/>
              <w:end w:w="90" w:type="dxa"/>
            </w:tcMar>
          </w:tcPr>
          <w:p>
            <w:pPr>
              <w:spacing w:after="0"/>
            </w:pPr>
            <w:r/>
            <w:r>
              <w:rPr>
                <w:rFonts w:ascii="Aptos" w:hAnsi="Aptos"/>
                <w:b w:val="0"/>
                <w:sz w:val="15"/>
              </w:rPr>
              <w:t>BR-009–BR-013</w:t>
            </w:r>
          </w:p>
        </w:tc>
        <w:tc>
          <w:tcPr>
            <w:tcW w:type="dxa" w:w="1944"/>
            <w:vAlign w:val="top"/>
            <w:tcMar>
              <w:top w:w="70" w:type="dxa"/>
              <w:start w:w="90" w:type="dxa"/>
              <w:bottom w:w="70" w:type="dxa"/>
              <w:end w:w="90" w:type="dxa"/>
            </w:tcMar>
          </w:tcPr>
          <w:p>
            <w:pPr>
              <w:spacing w:after="0"/>
            </w:pPr>
            <w:r/>
            <w:r>
              <w:rPr>
                <w:rFonts w:ascii="Aptos" w:hAnsi="Aptos"/>
                <w:b w:val="0"/>
                <w:sz w:val="15"/>
              </w:rPr>
              <w:t>silver.product_contracts</w:t>
            </w:r>
          </w:p>
        </w:tc>
        <w:tc>
          <w:tcPr>
            <w:tcW w:type="dxa" w:w="2448"/>
            <w:vAlign w:val="top"/>
            <w:tcMar>
              <w:top w:w="70" w:type="dxa"/>
              <w:start w:w="90" w:type="dxa"/>
              <w:bottom w:w="70" w:type="dxa"/>
              <w:end w:w="90" w:type="dxa"/>
            </w:tcMar>
          </w:tcPr>
          <w:p>
            <w:pPr>
              <w:spacing w:after="0"/>
            </w:pPr>
            <w:r/>
            <w:r>
              <w:rPr>
                <w:rFonts w:ascii="Aptos" w:hAnsi="Aptos"/>
                <w:b w:val="0"/>
                <w:sz w:val="15"/>
              </w:rPr>
              <w:t>Deduplication and is_governed_sale</w:t>
            </w:r>
          </w:p>
        </w:tc>
        <w:tc>
          <w:tcPr>
            <w:tcW w:type="dxa" w:w="1944"/>
            <w:vAlign w:val="top"/>
            <w:tcMar>
              <w:top w:w="70" w:type="dxa"/>
              <w:start w:w="90" w:type="dxa"/>
              <w:bottom w:w="70" w:type="dxa"/>
              <w:end w:w="90" w:type="dxa"/>
            </w:tcMar>
          </w:tcPr>
          <w:p>
            <w:pPr>
              <w:spacing w:after="0"/>
            </w:pPr>
            <w:r/>
            <w:r>
              <w:rPr>
                <w:rFonts w:ascii="Aptos" w:hAnsi="Aptos"/>
                <w:b w:val="0"/>
                <w:sz w:val="15"/>
              </w:rPr>
              <w:t>DQ-SALES-001–006</w:t>
            </w:r>
          </w:p>
        </w:tc>
        <w:tc>
          <w:tcPr>
            <w:tcW w:type="dxa" w:w="2232"/>
            <w:vAlign w:val="top"/>
            <w:tcMar>
              <w:top w:w="70" w:type="dxa"/>
              <w:start w:w="90" w:type="dxa"/>
              <w:bottom w:w="70" w:type="dxa"/>
              <w:end w:w="90" w:type="dxa"/>
            </w:tcMar>
          </w:tcPr>
          <w:p>
            <w:pPr>
              <w:spacing w:after="0"/>
            </w:pPr>
            <w:r/>
            <w:r>
              <w:rPr>
                <w:rFonts w:ascii="Aptos" w:hAnsi="Aptos"/>
                <w:b w:val="0"/>
                <w:sz w:val="15"/>
              </w:rPr>
              <w:t>gold.fct_banking_product_sales</w:t>
            </w:r>
          </w:p>
        </w:tc>
        <w:tc>
          <w:tcPr>
            <w:tcW w:type="dxa" w:w="2232"/>
            <w:vAlign w:val="top"/>
            <w:tcMar>
              <w:top w:w="70" w:type="dxa"/>
              <w:start w:w="90" w:type="dxa"/>
              <w:bottom w:w="70" w:type="dxa"/>
              <w:end w:w="90" w:type="dxa"/>
            </w:tcMar>
          </w:tcPr>
          <w:p>
            <w:pPr>
              <w:spacing w:after="0"/>
            </w:pPr>
            <w:r/>
            <w:r>
              <w:rPr>
                <w:rFonts w:ascii="Aptos" w:hAnsi="Aptos"/>
                <w:b w:val="0"/>
                <w:sz w:val="15"/>
              </w:rPr>
              <w:t>Governed Sales Quality</w:t>
            </w:r>
          </w:p>
        </w:tc>
      </w:tr>
      <w:tr>
        <w:tc>
          <w:tcPr>
            <w:tcW w:type="dxa" w:w="1584"/>
            <w:vAlign w:val="top"/>
            <w:tcMar>
              <w:top w:w="70" w:type="dxa"/>
              <w:start w:w="90" w:type="dxa"/>
              <w:bottom w:w="70" w:type="dxa"/>
              <w:end w:w="90" w:type="dxa"/>
            </w:tcMar>
          </w:tcPr>
          <w:p>
            <w:pPr>
              <w:spacing w:after="0"/>
            </w:pPr>
            <w:r/>
            <w:r>
              <w:rPr>
                <w:rFonts w:ascii="Aptos" w:hAnsi="Aptos"/>
                <w:b w:val="0"/>
                <w:sz w:val="15"/>
              </w:rPr>
              <w:t>BR-014</w:t>
            </w:r>
          </w:p>
        </w:tc>
        <w:tc>
          <w:tcPr>
            <w:tcW w:type="dxa" w:w="1944"/>
            <w:vAlign w:val="top"/>
            <w:tcMar>
              <w:top w:w="70" w:type="dxa"/>
              <w:start w:w="90" w:type="dxa"/>
              <w:bottom w:w="70" w:type="dxa"/>
              <w:end w:w="90" w:type="dxa"/>
            </w:tcMar>
          </w:tcPr>
          <w:p>
            <w:pPr>
              <w:spacing w:after="0"/>
            </w:pPr>
            <w:r/>
            <w:r>
              <w:rPr>
                <w:rFonts w:ascii="Aptos" w:hAnsi="Aptos"/>
                <w:b w:val="0"/>
                <w:sz w:val="15"/>
              </w:rPr>
              <w:t>silver.sales_targets + Gold fact</w:t>
            </w:r>
          </w:p>
        </w:tc>
        <w:tc>
          <w:tcPr>
            <w:tcW w:type="dxa" w:w="2448"/>
            <w:vAlign w:val="top"/>
            <w:tcMar>
              <w:top w:w="70" w:type="dxa"/>
              <w:start w:w="90" w:type="dxa"/>
              <w:bottom w:w="70" w:type="dxa"/>
              <w:end w:w="90" w:type="dxa"/>
            </w:tcMar>
          </w:tcPr>
          <w:p>
            <w:pPr>
              <w:spacing w:after="0"/>
            </w:pPr>
            <w:r/>
            <w:r>
              <w:rPr>
                <w:rFonts w:ascii="Aptos" w:hAnsi="Aptos"/>
                <w:b w:val="0"/>
                <w:sz w:val="15"/>
              </w:rPr>
              <w:t>Monthly aggregation and target join</w:t>
            </w:r>
          </w:p>
        </w:tc>
        <w:tc>
          <w:tcPr>
            <w:tcW w:type="dxa" w:w="1944"/>
            <w:vAlign w:val="top"/>
            <w:tcMar>
              <w:top w:w="70" w:type="dxa"/>
              <w:start w:w="90" w:type="dxa"/>
              <w:bottom w:w="70" w:type="dxa"/>
              <w:end w:w="90" w:type="dxa"/>
            </w:tcMar>
          </w:tcPr>
          <w:p>
            <w:pPr>
              <w:spacing w:after="0"/>
            </w:pPr>
            <w:r/>
            <w:r>
              <w:rPr>
                <w:rFonts w:ascii="Aptos" w:hAnsi="Aptos"/>
                <w:b w:val="0"/>
                <w:sz w:val="15"/>
              </w:rPr>
              <w:t>DQ-SALES controls protect inputs</w:t>
            </w:r>
          </w:p>
        </w:tc>
        <w:tc>
          <w:tcPr>
            <w:tcW w:type="dxa" w:w="2232"/>
            <w:vAlign w:val="top"/>
            <w:tcMar>
              <w:top w:w="70" w:type="dxa"/>
              <w:start w:w="90" w:type="dxa"/>
              <w:bottom w:w="70" w:type="dxa"/>
              <w:end w:w="90" w:type="dxa"/>
            </w:tcMar>
          </w:tcPr>
          <w:p>
            <w:pPr>
              <w:spacing w:after="0"/>
            </w:pPr>
            <w:r/>
            <w:r>
              <w:rPr>
                <w:rFonts w:ascii="Aptos" w:hAnsi="Aptos"/>
                <w:b w:val="0"/>
                <w:sz w:val="15"/>
              </w:rPr>
              <w:t>gold.mart_monthly_sales_kpis</w:t>
            </w:r>
          </w:p>
        </w:tc>
        <w:tc>
          <w:tcPr>
            <w:tcW w:type="dxa" w:w="2232"/>
            <w:vAlign w:val="top"/>
            <w:tcMar>
              <w:top w:w="70" w:type="dxa"/>
              <w:start w:w="90" w:type="dxa"/>
              <w:bottom w:w="70" w:type="dxa"/>
              <w:end w:w="90" w:type="dxa"/>
            </w:tcMar>
          </w:tcPr>
          <w:p>
            <w:pPr>
              <w:spacing w:after="0"/>
            </w:pPr>
            <w:r/>
            <w:r>
              <w:rPr>
                <w:rFonts w:ascii="Aptos" w:hAnsi="Aptos"/>
                <w:b w:val="0"/>
                <w:sz w:val="15"/>
              </w:rPr>
              <w:t>Sales Overview</w:t>
            </w:r>
          </w:p>
        </w:tc>
      </w:tr>
      <w:tr>
        <w:tc>
          <w:tcPr>
            <w:tcW w:type="dxa" w:w="1584"/>
            <w:vAlign w:val="top"/>
            <w:tcMar>
              <w:top w:w="70" w:type="dxa"/>
              <w:start w:w="90" w:type="dxa"/>
              <w:bottom w:w="70" w:type="dxa"/>
              <w:end w:w="90" w:type="dxa"/>
            </w:tcMar>
          </w:tcPr>
          <w:p>
            <w:pPr>
              <w:spacing w:after="0"/>
            </w:pPr>
            <w:r/>
            <w:r>
              <w:rPr>
                <w:rFonts w:ascii="Aptos" w:hAnsi="Aptos"/>
                <w:b w:val="0"/>
                <w:sz w:val="15"/>
              </w:rPr>
              <w:t>BR-015–BR-017</w:t>
            </w:r>
          </w:p>
        </w:tc>
        <w:tc>
          <w:tcPr>
            <w:tcW w:type="dxa" w:w="1944"/>
            <w:vAlign w:val="top"/>
            <w:tcMar>
              <w:top w:w="70" w:type="dxa"/>
              <w:start w:w="90" w:type="dxa"/>
              <w:bottom w:w="70" w:type="dxa"/>
              <w:end w:w="90" w:type="dxa"/>
            </w:tcMar>
          </w:tcPr>
          <w:p>
            <w:pPr>
              <w:spacing w:after="0"/>
            </w:pPr>
            <w:r/>
            <w:r>
              <w:rPr>
                <w:rFonts w:ascii="Aptos" w:hAnsi="Aptos"/>
                <w:b w:val="0"/>
                <w:sz w:val="15"/>
              </w:rPr>
              <w:t>Silver and Gold assets</w:t>
            </w:r>
          </w:p>
        </w:tc>
        <w:tc>
          <w:tcPr>
            <w:tcW w:type="dxa" w:w="2448"/>
            <w:vAlign w:val="top"/>
            <w:tcMar>
              <w:top w:w="70" w:type="dxa"/>
              <w:start w:w="90" w:type="dxa"/>
              <w:bottom w:w="70" w:type="dxa"/>
              <w:end w:w="90" w:type="dxa"/>
            </w:tcMar>
          </w:tcPr>
          <w:p>
            <w:pPr>
              <w:spacing w:after="0"/>
            </w:pPr>
            <w:r/>
            <w:r>
              <w:rPr>
                <w:rFonts w:ascii="Aptos" w:hAnsi="Aptos"/>
                <w:b w:val="0"/>
                <w:sz w:val="15"/>
              </w:rPr>
              <w:t>DQ execution notebook</w:t>
            </w:r>
          </w:p>
        </w:tc>
        <w:tc>
          <w:tcPr>
            <w:tcW w:type="dxa" w:w="1944"/>
            <w:vAlign w:val="top"/>
            <w:tcMar>
              <w:top w:w="70" w:type="dxa"/>
              <w:start w:w="90" w:type="dxa"/>
              <w:bottom w:w="70" w:type="dxa"/>
              <w:end w:w="90" w:type="dxa"/>
            </w:tcMar>
          </w:tcPr>
          <w:p>
            <w:pPr>
              <w:spacing w:after="0"/>
            </w:pPr>
            <w:r/>
            <w:r>
              <w:rPr>
                <w:rFonts w:ascii="Aptos" w:hAnsi="Aptos"/>
                <w:b w:val="0"/>
                <w:sz w:val="15"/>
              </w:rPr>
              <w:t>All 12 rules</w:t>
            </w:r>
          </w:p>
        </w:tc>
        <w:tc>
          <w:tcPr>
            <w:tcW w:type="dxa" w:w="2232"/>
            <w:vAlign w:val="top"/>
            <w:tcMar>
              <w:top w:w="70" w:type="dxa"/>
              <w:start w:w="90" w:type="dxa"/>
              <w:bottom w:w="70" w:type="dxa"/>
              <w:end w:w="90" w:type="dxa"/>
            </w:tcMar>
          </w:tcPr>
          <w:p>
            <w:pPr>
              <w:spacing w:after="0"/>
            </w:pPr>
            <w:r/>
            <w:r>
              <w:rPr>
                <w:rFonts w:ascii="Aptos" w:hAnsi="Aptos"/>
                <w:b w:val="0"/>
                <w:sz w:val="15"/>
              </w:rPr>
              <w:t>governance.dq_rule_results</w:t>
            </w:r>
          </w:p>
        </w:tc>
        <w:tc>
          <w:tcPr>
            <w:tcW w:type="dxa" w:w="2232"/>
            <w:vAlign w:val="top"/>
            <w:tcMar>
              <w:top w:w="70" w:type="dxa"/>
              <w:start w:w="90" w:type="dxa"/>
              <w:bottom w:w="70" w:type="dxa"/>
              <w:end w:w="90" w:type="dxa"/>
            </w:tcMar>
          </w:tcPr>
          <w:p>
            <w:pPr>
              <w:spacing w:after="0"/>
            </w:pPr>
            <w:r/>
            <w:r>
              <w:rPr>
                <w:rFonts w:ascii="Aptos" w:hAnsi="Aptos"/>
                <w:b w:val="0"/>
                <w:sz w:val="15"/>
              </w:rPr>
              <w:t>Data Quality Report</w:t>
            </w:r>
          </w:p>
        </w:tc>
      </w:tr>
      <w:tr>
        <w:tc>
          <w:tcPr>
            <w:tcW w:type="dxa" w:w="1584"/>
            <w:vAlign w:val="top"/>
            <w:tcMar>
              <w:top w:w="70" w:type="dxa"/>
              <w:start w:w="90" w:type="dxa"/>
              <w:bottom w:w="70" w:type="dxa"/>
              <w:end w:w="90" w:type="dxa"/>
            </w:tcMar>
          </w:tcPr>
          <w:p>
            <w:pPr>
              <w:spacing w:after="0"/>
            </w:pPr>
            <w:r/>
            <w:r>
              <w:rPr>
                <w:rFonts w:ascii="Aptos" w:hAnsi="Aptos"/>
                <w:b w:val="0"/>
                <w:sz w:val="15"/>
              </w:rPr>
              <w:t>BR-018–BR-020</w:t>
            </w:r>
          </w:p>
        </w:tc>
        <w:tc>
          <w:tcPr>
            <w:tcW w:type="dxa" w:w="1944"/>
            <w:vAlign w:val="top"/>
            <w:tcMar>
              <w:top w:w="70" w:type="dxa"/>
              <w:start w:w="90" w:type="dxa"/>
              <w:bottom w:w="70" w:type="dxa"/>
              <w:end w:w="90" w:type="dxa"/>
            </w:tcMar>
          </w:tcPr>
          <w:p>
            <w:pPr>
              <w:spacing w:after="0"/>
            </w:pPr>
            <w:r/>
            <w:r>
              <w:rPr>
                <w:rFonts w:ascii="Aptos" w:hAnsi="Aptos"/>
                <w:b w:val="0"/>
                <w:sz w:val="15"/>
              </w:rPr>
              <w:t>Fabric Files, tables, notebooks and pipeline</w:t>
            </w:r>
          </w:p>
        </w:tc>
        <w:tc>
          <w:tcPr>
            <w:tcW w:type="dxa" w:w="2448"/>
            <w:vAlign w:val="top"/>
            <w:tcMar>
              <w:top w:w="70" w:type="dxa"/>
              <w:start w:w="90" w:type="dxa"/>
              <w:bottom w:w="70" w:type="dxa"/>
              <w:end w:w="90" w:type="dxa"/>
            </w:tcMar>
          </w:tcPr>
          <w:p>
            <w:pPr>
              <w:spacing w:after="0"/>
            </w:pPr>
            <w:r/>
            <w:r>
              <w:rPr>
                <w:rFonts w:ascii="Aptos" w:hAnsi="Aptos"/>
                <w:b w:val="0"/>
                <w:sz w:val="15"/>
              </w:rPr>
              <w:t>Layered architecture and orchestration</w:t>
            </w:r>
          </w:p>
        </w:tc>
        <w:tc>
          <w:tcPr>
            <w:tcW w:type="dxa" w:w="1944"/>
            <w:vAlign w:val="top"/>
            <w:tcMar>
              <w:top w:w="70" w:type="dxa"/>
              <w:start w:w="90" w:type="dxa"/>
              <w:bottom w:w="70" w:type="dxa"/>
              <w:end w:w="90" w:type="dxa"/>
            </w:tcMar>
          </w:tcPr>
          <w:p>
            <w:pPr>
              <w:spacing w:after="0"/>
            </w:pPr>
            <w:r/>
            <w:r>
              <w:rPr>
                <w:rFonts w:ascii="Aptos" w:hAnsi="Aptos"/>
                <w:b w:val="0"/>
                <w:sz w:val="15"/>
              </w:rPr>
              <w:t>Control metadata</w:t>
            </w:r>
          </w:p>
        </w:tc>
        <w:tc>
          <w:tcPr>
            <w:tcW w:type="dxa" w:w="2232"/>
            <w:vAlign w:val="top"/>
            <w:tcMar>
              <w:top w:w="70" w:type="dxa"/>
              <w:start w:w="90" w:type="dxa"/>
              <w:bottom w:w="70" w:type="dxa"/>
              <w:end w:w="90" w:type="dxa"/>
            </w:tcMar>
          </w:tcPr>
          <w:p>
            <w:pPr>
              <w:spacing w:after="0"/>
            </w:pPr>
            <w:r/>
            <w:r>
              <w:rPr>
                <w:rFonts w:ascii="Aptos" w:hAnsi="Aptos"/>
                <w:b w:val="0"/>
                <w:sz w:val="15"/>
              </w:rPr>
              <w:t>All Gold and governance assets</w:t>
            </w:r>
          </w:p>
        </w:tc>
        <w:tc>
          <w:tcPr>
            <w:tcW w:type="dxa" w:w="2232"/>
            <w:vAlign w:val="top"/>
            <w:tcMar>
              <w:top w:w="70" w:type="dxa"/>
              <w:start w:w="90" w:type="dxa"/>
              <w:bottom w:w="70" w:type="dxa"/>
              <w:end w:w="90" w:type="dxa"/>
            </w:tcMar>
          </w:tcPr>
          <w:p>
            <w:pPr>
              <w:spacing w:after="0"/>
            </w:pPr>
            <w:r/>
            <w:r>
              <w:rPr>
                <w:rFonts w:ascii="Aptos" w:hAnsi="Aptos"/>
                <w:b w:val="0"/>
                <w:sz w:val="15"/>
              </w:rPr>
              <w:t>Fabric lineage, documentation and future Purview</w:t>
            </w:r>
          </w:p>
        </w:tc>
      </w:tr>
    </w:tbl>
    <w:p>
      <w:pPr>
        <w:spacing w:after="0"/>
      </w:pPr>
    </w:p>
    <w:p>
      <w:pPr>
        <w:pStyle w:val="Heading1"/>
        <w:keepNext/>
        <w:spacing w:before="200" w:after="80"/>
      </w:pPr>
      <w:r>
        <w:t>15. Acceptance Criteria</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152"/>
            <w:shd w:fill="1F4E78"/>
            <w:vAlign w:val="center"/>
            <w:tcMar>
              <w:top w:w="70" w:type="dxa"/>
              <w:start w:w="90" w:type="dxa"/>
              <w:bottom w:w="70" w:type="dxa"/>
              <w:end w:w="90" w:type="dxa"/>
            </w:tcMar>
          </w:tcPr>
          <w:p>
            <w:pPr>
              <w:spacing w:after="0"/>
            </w:pPr>
            <w:r/>
            <w:r>
              <w:rPr>
                <w:rFonts w:ascii="Aptos" w:hAnsi="Aptos"/>
                <w:b/>
                <w:color w:val="FFFFFF"/>
                <w:sz w:val="17"/>
              </w:rPr>
              <w:t>ID</w:t>
            </w:r>
          </w:p>
        </w:tc>
        <w:tc>
          <w:tcPr>
            <w:tcW w:type="dxa" w:w="9504"/>
            <w:shd w:fill="1F4E78"/>
            <w:vAlign w:val="center"/>
            <w:tcMar>
              <w:top w:w="70" w:type="dxa"/>
              <w:start w:w="90" w:type="dxa"/>
              <w:bottom w:w="70" w:type="dxa"/>
              <w:end w:w="90" w:type="dxa"/>
            </w:tcMar>
          </w:tcPr>
          <w:p>
            <w:pPr>
              <w:spacing w:after="0"/>
            </w:pPr>
            <w:r/>
            <w:r>
              <w:rPr>
                <w:rFonts w:ascii="Aptos" w:hAnsi="Aptos"/>
                <w:b/>
                <w:color w:val="FFFFFF"/>
                <w:sz w:val="17"/>
              </w:rPr>
              <w:t>Acceptance criterion</w:t>
            </w:r>
          </w:p>
        </w:tc>
      </w:tr>
      <w:tr>
        <w:tc>
          <w:tcPr>
            <w:tcW w:type="dxa" w:w="1152"/>
            <w:vAlign w:val="top"/>
            <w:tcMar>
              <w:top w:w="70" w:type="dxa"/>
              <w:start w:w="90" w:type="dxa"/>
              <w:bottom w:w="70" w:type="dxa"/>
              <w:end w:w="90" w:type="dxa"/>
            </w:tcMar>
          </w:tcPr>
          <w:p>
            <w:pPr>
              <w:spacing w:after="0"/>
            </w:pPr>
            <w:r/>
            <w:r>
              <w:rPr>
                <w:rFonts w:ascii="Aptos" w:hAnsi="Aptos"/>
                <w:b w:val="0"/>
                <w:sz w:val="17"/>
              </w:rPr>
              <w:t>AC-01</w:t>
            </w:r>
          </w:p>
        </w:tc>
        <w:tc>
          <w:tcPr>
            <w:tcW w:type="dxa" w:w="9504"/>
            <w:vAlign w:val="top"/>
            <w:tcMar>
              <w:top w:w="70" w:type="dxa"/>
              <w:start w:w="90" w:type="dxa"/>
              <w:bottom w:w="70" w:type="dxa"/>
              <w:end w:w="90" w:type="dxa"/>
            </w:tcMar>
          </w:tcPr>
          <w:p>
            <w:pPr>
              <w:spacing w:after="0"/>
            </w:pPr>
            <w:r/>
            <w:r>
              <w:rPr>
                <w:rFonts w:ascii="Aptos" w:hAnsi="Aptos"/>
                <w:b w:val="0"/>
                <w:sz w:val="17"/>
              </w:rPr>
              <w:t>The pipeline completes all four notebook activities successfully in sequence.</w:t>
            </w:r>
          </w:p>
        </w:tc>
      </w:tr>
      <w:tr>
        <w:tc>
          <w:tcPr>
            <w:tcW w:type="dxa" w:w="1152"/>
            <w:vAlign w:val="top"/>
            <w:tcMar>
              <w:top w:w="70" w:type="dxa"/>
              <w:start w:w="90" w:type="dxa"/>
              <w:bottom w:w="70" w:type="dxa"/>
              <w:end w:w="90" w:type="dxa"/>
            </w:tcMar>
          </w:tcPr>
          <w:p>
            <w:pPr>
              <w:spacing w:after="0"/>
            </w:pPr>
            <w:r/>
            <w:r>
              <w:rPr>
                <w:rFonts w:ascii="Aptos" w:hAnsi="Aptos"/>
                <w:b w:val="0"/>
                <w:sz w:val="17"/>
              </w:rPr>
              <w:t>AC-02</w:t>
            </w:r>
          </w:p>
        </w:tc>
        <w:tc>
          <w:tcPr>
            <w:tcW w:type="dxa" w:w="9504"/>
            <w:vAlign w:val="top"/>
            <w:tcMar>
              <w:top w:w="70" w:type="dxa"/>
              <w:start w:w="90" w:type="dxa"/>
              <w:bottom w:w="70" w:type="dxa"/>
              <w:end w:w="90" w:type="dxa"/>
            </w:tcMar>
          </w:tcPr>
          <w:p>
            <w:pPr>
              <w:spacing w:after="0"/>
            </w:pPr>
            <w:r/>
            <w:r>
              <w:rPr>
                <w:rFonts w:ascii="Aptos" w:hAnsi="Aptos"/>
                <w:b w:val="0"/>
                <w:sz w:val="17"/>
              </w:rPr>
              <w:t>Bronze and Silver each contain seven expected tables.</w:t>
            </w:r>
          </w:p>
        </w:tc>
      </w:tr>
      <w:tr>
        <w:tc>
          <w:tcPr>
            <w:tcW w:type="dxa" w:w="1152"/>
            <w:vAlign w:val="top"/>
            <w:tcMar>
              <w:top w:w="70" w:type="dxa"/>
              <w:start w:w="90" w:type="dxa"/>
              <w:bottom w:w="70" w:type="dxa"/>
              <w:end w:w="90" w:type="dxa"/>
            </w:tcMar>
          </w:tcPr>
          <w:p>
            <w:pPr>
              <w:spacing w:after="0"/>
            </w:pPr>
            <w:r/>
            <w:r>
              <w:rPr>
                <w:rFonts w:ascii="Aptos" w:hAnsi="Aptos"/>
                <w:b w:val="0"/>
                <w:sz w:val="17"/>
              </w:rPr>
              <w:t>AC-03</w:t>
            </w:r>
          </w:p>
        </w:tc>
        <w:tc>
          <w:tcPr>
            <w:tcW w:type="dxa" w:w="9504"/>
            <w:vAlign w:val="top"/>
            <w:tcMar>
              <w:top w:w="70" w:type="dxa"/>
              <w:start w:w="90" w:type="dxa"/>
              <w:bottom w:w="70" w:type="dxa"/>
              <w:end w:w="90" w:type="dxa"/>
            </w:tcMar>
          </w:tcPr>
          <w:p>
            <w:pPr>
              <w:spacing w:after="0"/>
            </w:pPr>
            <w:r/>
            <w:r>
              <w:rPr>
                <w:rFonts w:ascii="Aptos" w:hAnsi="Aptos"/>
                <w:b w:val="0"/>
                <w:sz w:val="17"/>
              </w:rPr>
              <w:t>Gold contains the three expected trusted/reporting tables.</w:t>
            </w:r>
          </w:p>
        </w:tc>
      </w:tr>
      <w:tr>
        <w:tc>
          <w:tcPr>
            <w:tcW w:type="dxa" w:w="1152"/>
            <w:vAlign w:val="top"/>
            <w:tcMar>
              <w:top w:w="70" w:type="dxa"/>
              <w:start w:w="90" w:type="dxa"/>
              <w:bottom w:w="70" w:type="dxa"/>
              <w:end w:w="90" w:type="dxa"/>
            </w:tcMar>
          </w:tcPr>
          <w:p>
            <w:pPr>
              <w:spacing w:after="0"/>
            </w:pPr>
            <w:r/>
            <w:r>
              <w:rPr>
                <w:rFonts w:ascii="Aptos" w:hAnsi="Aptos"/>
                <w:b w:val="0"/>
                <w:sz w:val="17"/>
              </w:rPr>
              <w:t>AC-04</w:t>
            </w:r>
          </w:p>
        </w:tc>
        <w:tc>
          <w:tcPr>
            <w:tcW w:type="dxa" w:w="9504"/>
            <w:vAlign w:val="top"/>
            <w:tcMar>
              <w:top w:w="70" w:type="dxa"/>
              <w:start w:w="90" w:type="dxa"/>
              <w:bottom w:w="70" w:type="dxa"/>
              <w:end w:w="90" w:type="dxa"/>
            </w:tcMar>
          </w:tcPr>
          <w:p>
            <w:pPr>
              <w:spacing w:after="0"/>
            </w:pPr>
            <w:r/>
            <w:r>
              <w:rPr>
                <w:rFonts w:ascii="Aptos" w:hAnsi="Aptos"/>
                <w:b w:val="0"/>
                <w:sz w:val="17"/>
              </w:rPr>
              <w:t>Governance contains dq_rule_results with 12 rule rows.</w:t>
            </w:r>
          </w:p>
        </w:tc>
      </w:tr>
      <w:tr>
        <w:tc>
          <w:tcPr>
            <w:tcW w:type="dxa" w:w="1152"/>
            <w:vAlign w:val="top"/>
            <w:tcMar>
              <w:top w:w="70" w:type="dxa"/>
              <w:start w:w="90" w:type="dxa"/>
              <w:bottom w:w="70" w:type="dxa"/>
              <w:end w:w="90" w:type="dxa"/>
            </w:tcMar>
          </w:tcPr>
          <w:p>
            <w:pPr>
              <w:spacing w:after="0"/>
            </w:pPr>
            <w:r/>
            <w:r>
              <w:rPr>
                <w:rFonts w:ascii="Aptos" w:hAnsi="Aptos"/>
                <w:b w:val="0"/>
                <w:sz w:val="17"/>
              </w:rPr>
              <w:t>AC-05</w:t>
            </w:r>
          </w:p>
        </w:tc>
        <w:tc>
          <w:tcPr>
            <w:tcW w:type="dxa" w:w="9504"/>
            <w:vAlign w:val="top"/>
            <w:tcMar>
              <w:top w:w="70" w:type="dxa"/>
              <w:start w:w="90" w:type="dxa"/>
              <w:bottom w:w="70" w:type="dxa"/>
              <w:end w:w="90" w:type="dxa"/>
            </w:tcMar>
          </w:tcPr>
          <w:p>
            <w:pPr>
              <w:spacing w:after="0"/>
            </w:pPr>
            <w:r/>
            <w:r>
              <w:rPr>
                <w:rFonts w:ascii="Aptos" w:hAnsi="Aptos"/>
                <w:b w:val="0"/>
                <w:sz w:val="17"/>
              </w:rPr>
              <w:t>Gold legal entity table contains only accepted country codes and one record per Registry entity in scope.</w:t>
            </w:r>
          </w:p>
        </w:tc>
      </w:tr>
      <w:tr>
        <w:tc>
          <w:tcPr>
            <w:tcW w:type="dxa" w:w="1152"/>
            <w:vAlign w:val="top"/>
            <w:tcMar>
              <w:top w:w="70" w:type="dxa"/>
              <w:start w:w="90" w:type="dxa"/>
              <w:bottom w:w="70" w:type="dxa"/>
              <w:end w:w="90" w:type="dxa"/>
            </w:tcMar>
          </w:tcPr>
          <w:p>
            <w:pPr>
              <w:spacing w:after="0"/>
            </w:pPr>
            <w:r/>
            <w:r>
              <w:rPr>
                <w:rFonts w:ascii="Aptos" w:hAnsi="Aptos"/>
                <w:b w:val="0"/>
                <w:sz w:val="17"/>
              </w:rPr>
              <w:t>AC-06</w:t>
            </w:r>
          </w:p>
        </w:tc>
        <w:tc>
          <w:tcPr>
            <w:tcW w:type="dxa" w:w="9504"/>
            <w:vAlign w:val="top"/>
            <w:tcMar>
              <w:top w:w="70" w:type="dxa"/>
              <w:start w:w="90" w:type="dxa"/>
              <w:bottom w:w="70" w:type="dxa"/>
              <w:end w:w="90" w:type="dxa"/>
            </w:tcMar>
          </w:tcPr>
          <w:p>
            <w:pPr>
              <w:spacing w:after="0"/>
            </w:pPr>
            <w:r/>
            <w:r>
              <w:rPr>
                <w:rFonts w:ascii="Aptos" w:hAnsi="Aptos"/>
                <w:b w:val="0"/>
                <w:sz w:val="17"/>
              </w:rPr>
              <w:t>Gold sales fact contains 1,000 unique contract IDs from 1,025 Silver rows.</w:t>
            </w:r>
          </w:p>
        </w:tc>
      </w:tr>
      <w:tr>
        <w:tc>
          <w:tcPr>
            <w:tcW w:type="dxa" w:w="1152"/>
            <w:vAlign w:val="top"/>
            <w:tcMar>
              <w:top w:w="70" w:type="dxa"/>
              <w:start w:w="90" w:type="dxa"/>
              <w:bottom w:w="70" w:type="dxa"/>
              <w:end w:w="90" w:type="dxa"/>
            </w:tcMar>
          </w:tcPr>
          <w:p>
            <w:pPr>
              <w:spacing w:after="0"/>
            </w:pPr>
            <w:r/>
            <w:r>
              <w:rPr>
                <w:rFonts w:ascii="Aptos" w:hAnsi="Aptos"/>
                <w:b w:val="0"/>
                <w:sz w:val="17"/>
              </w:rPr>
              <w:t>AC-07</w:t>
            </w:r>
          </w:p>
        </w:tc>
        <w:tc>
          <w:tcPr>
            <w:tcW w:type="dxa" w:w="9504"/>
            <w:vAlign w:val="top"/>
            <w:tcMar>
              <w:top w:w="70" w:type="dxa"/>
              <w:start w:w="90" w:type="dxa"/>
              <w:bottom w:w="70" w:type="dxa"/>
              <w:end w:w="90" w:type="dxa"/>
            </w:tcMar>
          </w:tcPr>
          <w:p>
            <w:pPr>
              <w:spacing w:after="0"/>
            </w:pPr>
            <w:r/>
            <w:r>
              <w:rPr>
                <w:rFonts w:ascii="Aptos" w:hAnsi="Aptos"/>
                <w:b w:val="0"/>
                <w:sz w:val="17"/>
              </w:rPr>
              <w:t>Governed-sale measures use only is_governed_sale = TRUE.</w:t>
            </w:r>
          </w:p>
        </w:tc>
      </w:tr>
      <w:tr>
        <w:tc>
          <w:tcPr>
            <w:tcW w:type="dxa" w:w="1152"/>
            <w:vAlign w:val="top"/>
            <w:tcMar>
              <w:top w:w="70" w:type="dxa"/>
              <w:start w:w="90" w:type="dxa"/>
              <w:bottom w:w="70" w:type="dxa"/>
              <w:end w:w="90" w:type="dxa"/>
            </w:tcMar>
          </w:tcPr>
          <w:p>
            <w:pPr>
              <w:spacing w:after="0"/>
            </w:pPr>
            <w:r/>
            <w:r>
              <w:rPr>
                <w:rFonts w:ascii="Aptos" w:hAnsi="Aptos"/>
                <w:b w:val="0"/>
                <w:sz w:val="17"/>
              </w:rPr>
              <w:t>AC-08</w:t>
            </w:r>
          </w:p>
        </w:tc>
        <w:tc>
          <w:tcPr>
            <w:tcW w:type="dxa" w:w="9504"/>
            <w:vAlign w:val="top"/>
            <w:tcMar>
              <w:top w:w="70" w:type="dxa"/>
              <w:start w:w="90" w:type="dxa"/>
              <w:bottom w:w="70" w:type="dxa"/>
              <w:end w:w="90" w:type="dxa"/>
            </w:tcMar>
          </w:tcPr>
          <w:p>
            <w:pPr>
              <w:spacing w:after="0"/>
            </w:pPr>
            <w:r/>
            <w:r>
              <w:rPr>
                <w:rFonts w:ascii="Aptos" w:hAnsi="Aptos"/>
                <w:b w:val="0"/>
                <w:sz w:val="17"/>
              </w:rPr>
              <w:t>DQ charts use SUM(failed_record_count) for issue observations and COUNT(rule_id) for rule counts.</w:t>
            </w:r>
          </w:p>
        </w:tc>
      </w:tr>
      <w:tr>
        <w:tc>
          <w:tcPr>
            <w:tcW w:type="dxa" w:w="1152"/>
            <w:vAlign w:val="top"/>
            <w:tcMar>
              <w:top w:w="70" w:type="dxa"/>
              <w:start w:w="90" w:type="dxa"/>
              <w:bottom w:w="70" w:type="dxa"/>
              <w:end w:w="90" w:type="dxa"/>
            </w:tcMar>
          </w:tcPr>
          <w:p>
            <w:pPr>
              <w:spacing w:after="0"/>
            </w:pPr>
            <w:r/>
            <w:r>
              <w:rPr>
                <w:rFonts w:ascii="Aptos" w:hAnsi="Aptos"/>
                <w:b w:val="0"/>
                <w:sz w:val="17"/>
              </w:rPr>
              <w:t>AC-09</w:t>
            </w:r>
          </w:p>
        </w:tc>
        <w:tc>
          <w:tcPr>
            <w:tcW w:type="dxa" w:w="9504"/>
            <w:vAlign w:val="top"/>
            <w:tcMar>
              <w:top w:w="70" w:type="dxa"/>
              <w:start w:w="90" w:type="dxa"/>
              <w:bottom w:w="70" w:type="dxa"/>
              <w:end w:w="90" w:type="dxa"/>
            </w:tcMar>
          </w:tcPr>
          <w:p>
            <w:pPr>
              <w:spacing w:after="0"/>
            </w:pPr>
            <w:r/>
            <w:r>
              <w:rPr>
                <w:rFonts w:ascii="Aptos" w:hAnsi="Aptos"/>
                <w:b w:val="0"/>
                <w:sz w:val="17"/>
              </w:rPr>
              <w:t>The excluded-contract detail table is filtered to is_governed_sale = FALSE.</w:t>
            </w:r>
          </w:p>
        </w:tc>
      </w:tr>
      <w:tr>
        <w:tc>
          <w:tcPr>
            <w:tcW w:type="dxa" w:w="1152"/>
            <w:vAlign w:val="top"/>
            <w:tcMar>
              <w:top w:w="70" w:type="dxa"/>
              <w:start w:w="90" w:type="dxa"/>
              <w:bottom w:w="70" w:type="dxa"/>
              <w:end w:w="90" w:type="dxa"/>
            </w:tcMar>
          </w:tcPr>
          <w:p>
            <w:pPr>
              <w:spacing w:after="0"/>
            </w:pPr>
            <w:r/>
            <w:r>
              <w:rPr>
                <w:rFonts w:ascii="Aptos" w:hAnsi="Aptos"/>
                <w:b w:val="0"/>
                <w:sz w:val="17"/>
              </w:rPr>
              <w:t>AC-10</w:t>
            </w:r>
          </w:p>
        </w:tc>
        <w:tc>
          <w:tcPr>
            <w:tcW w:type="dxa" w:w="9504"/>
            <w:vAlign w:val="top"/>
            <w:tcMar>
              <w:top w:w="70" w:type="dxa"/>
              <w:start w:w="90" w:type="dxa"/>
              <w:bottom w:w="70" w:type="dxa"/>
              <w:end w:w="90" w:type="dxa"/>
            </w:tcMar>
          </w:tcPr>
          <w:p>
            <w:pPr>
              <w:spacing w:after="0"/>
            </w:pPr>
            <w:r/>
            <w:r>
              <w:rPr>
                <w:rFonts w:ascii="Aptos" w:hAnsi="Aptos"/>
                <w:b w:val="0"/>
                <w:sz w:val="17"/>
              </w:rPr>
              <w:t>All report and documentation labels distinguish contract count from sales amount.</w:t>
            </w:r>
          </w:p>
        </w:tc>
      </w:tr>
    </w:tbl>
    <w:p>
      <w:pPr>
        <w:spacing w:after="0"/>
      </w:pPr>
    </w:p>
    <w:p>
      <w:pPr>
        <w:pStyle w:val="Heading1"/>
        <w:keepNext/>
        <w:spacing w:before="200" w:after="80"/>
      </w:pPr>
      <w:r>
        <w:t>16. Future Enhancements</w:t>
      </w:r>
    </w:p>
    <w:p>
      <w:pPr>
        <w:pStyle w:val="ListBullet"/>
        <w:spacing w:after="60" w:line="252" w:lineRule="auto"/>
      </w:pPr>
      <w:r>
        <w:rPr>
          <w:sz w:val="21"/>
        </w:rPr>
        <w:t>Register Fabric data assets in Microsoft Purview and implement governance domains, data products, glossary terms, owners and stewards.</w:t>
      </w:r>
    </w:p>
    <w:p>
      <w:pPr>
        <w:pStyle w:val="ListBullet"/>
        <w:spacing w:after="60" w:line="252" w:lineRule="auto"/>
      </w:pPr>
      <w:r>
        <w:rPr>
          <w:sz w:val="21"/>
        </w:rPr>
        <w:t>Add a DQ issue register with root cause, business impact, owner, status, due date and resolution evidence.</w:t>
      </w:r>
    </w:p>
    <w:p>
      <w:pPr>
        <w:pStyle w:val="ListBullet"/>
        <w:spacing w:after="60" w:line="252" w:lineRule="auto"/>
      </w:pPr>
      <w:r>
        <w:rPr>
          <w:sz w:val="21"/>
        </w:rPr>
        <w:t>Store DQ execution history by appending results rather than overwriting the latest run.</w:t>
      </w:r>
    </w:p>
    <w:p>
      <w:pPr>
        <w:pStyle w:val="ListBullet"/>
        <w:spacing w:after="60" w:line="252" w:lineRule="auto"/>
      </w:pPr>
      <w:r>
        <w:rPr>
          <w:sz w:val="21"/>
        </w:rPr>
        <w:t>Add record-level exception tables for each DQ rule.</w:t>
      </w:r>
    </w:p>
    <w:p>
      <w:pPr>
        <w:pStyle w:val="ListBullet"/>
        <w:spacing w:after="60" w:line="252" w:lineRule="auto"/>
      </w:pPr>
      <w:r>
        <w:rPr>
          <w:sz w:val="21"/>
        </w:rPr>
        <w:t>Add alerts when critical rules fail or DQ pass rate falls below an agreed threshold.</w:t>
      </w:r>
    </w:p>
    <w:p>
      <w:pPr>
        <w:pStyle w:val="ListBullet"/>
        <w:spacing w:after="60" w:line="252" w:lineRule="auto"/>
      </w:pPr>
      <w:r>
        <w:rPr>
          <w:sz w:val="21"/>
        </w:rPr>
        <w:t>Enhance legal entity matching with country-specific registry validation, fuzzy name matching and manual stewardship review.</w:t>
      </w:r>
    </w:p>
    <w:p>
      <w:pPr>
        <w:pStyle w:val="ListBullet"/>
        <w:spacing w:after="60" w:line="252" w:lineRule="auto"/>
      </w:pPr>
      <w:r>
        <w:rPr>
          <w:sz w:val="21"/>
        </w:rPr>
        <w:t>Implement slowly changing dimensions for legal entity history.</w:t>
      </w:r>
    </w:p>
    <w:p>
      <w:pPr>
        <w:pStyle w:val="ListBullet"/>
        <w:spacing w:after="60" w:line="252" w:lineRule="auto"/>
      </w:pPr>
      <w:r>
        <w:rPr>
          <w:sz w:val="21"/>
        </w:rPr>
        <w:t>Correct the actual-versus-target mart to preserve actuals for months without target rows.</w:t>
      </w:r>
    </w:p>
    <w:p>
      <w:pPr>
        <w:pStyle w:val="ListBullet"/>
        <w:spacing w:after="60" w:line="252" w:lineRule="auto"/>
      </w:pPr>
      <w:r>
        <w:rPr>
          <w:sz w:val="21"/>
        </w:rPr>
        <w:t>Add source-system reconciliation controls and distinct-customer measures in the semantic model.</w:t>
      </w:r>
    </w:p>
    <w:p>
      <w:pPr>
        <w:pStyle w:val="ListBullet"/>
        <w:spacing w:after="60" w:line="252" w:lineRule="auto"/>
      </w:pPr>
      <w:r>
        <w:rPr>
          <w:sz w:val="21"/>
        </w:rPr>
        <w:t>Integrate Fabric deployment pipelines and Git-based CI/CD.</w:t>
      </w:r>
    </w:p>
    <w:p>
      <w:pPr>
        <w:pStyle w:val="Heading1"/>
        <w:keepNext/>
        <w:spacing w:before="200" w:after="80"/>
      </w:pPr>
      <w:r>
        <w:t>Appendix A – Key Business Glossary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592"/>
            <w:shd w:fill="1F4E78"/>
            <w:vAlign w:val="center"/>
            <w:tcMar>
              <w:top w:w="70" w:type="dxa"/>
              <w:start w:w="90" w:type="dxa"/>
              <w:bottom w:w="70" w:type="dxa"/>
              <w:end w:w="90" w:type="dxa"/>
            </w:tcMar>
          </w:tcPr>
          <w:p>
            <w:pPr>
              <w:spacing w:after="0"/>
            </w:pPr>
            <w:r/>
            <w:r>
              <w:rPr>
                <w:rFonts w:ascii="Aptos" w:hAnsi="Aptos"/>
                <w:b/>
                <w:color w:val="FFFFFF"/>
                <w:sz w:val="17"/>
              </w:rPr>
              <w:t>Term</w:t>
            </w:r>
          </w:p>
        </w:tc>
        <w:tc>
          <w:tcPr>
            <w:tcW w:type="dxa" w:w="7920"/>
            <w:shd w:fill="1F4E78"/>
            <w:vAlign w:val="center"/>
            <w:tcMar>
              <w:top w:w="70" w:type="dxa"/>
              <w:start w:w="90" w:type="dxa"/>
              <w:bottom w:w="70" w:type="dxa"/>
              <w:end w:w="90" w:type="dxa"/>
            </w:tcMar>
          </w:tcPr>
          <w:p>
            <w:pPr>
              <w:spacing w:after="0"/>
            </w:pPr>
            <w:r/>
            <w:r>
              <w:rPr>
                <w:rFonts w:ascii="Aptos" w:hAnsi="Aptos"/>
                <w:b/>
                <w:color w:val="FFFFFF"/>
                <w:sz w:val="17"/>
              </w:rPr>
              <w:t>Definition</w:t>
            </w:r>
          </w:p>
        </w:tc>
      </w:tr>
      <w:tr>
        <w:tc>
          <w:tcPr>
            <w:tcW w:type="dxa" w:w="2592"/>
            <w:vAlign w:val="top"/>
            <w:tcMar>
              <w:top w:w="70" w:type="dxa"/>
              <w:start w:w="90" w:type="dxa"/>
              <w:bottom w:w="70" w:type="dxa"/>
              <w:end w:w="90" w:type="dxa"/>
            </w:tcMar>
          </w:tcPr>
          <w:p>
            <w:pPr>
              <w:spacing w:after="0"/>
            </w:pPr>
            <w:r/>
            <w:r>
              <w:rPr>
                <w:rFonts w:ascii="Aptos" w:hAnsi="Aptos"/>
                <w:b w:val="0"/>
                <w:sz w:val="17"/>
              </w:rPr>
              <w:t>Legal Entity</w:t>
            </w:r>
          </w:p>
        </w:tc>
        <w:tc>
          <w:tcPr>
            <w:tcW w:type="dxa" w:w="7920"/>
            <w:vAlign w:val="top"/>
            <w:tcMar>
              <w:top w:w="70" w:type="dxa"/>
              <w:start w:w="90" w:type="dxa"/>
              <w:bottom w:w="70" w:type="dxa"/>
              <w:end w:w="90" w:type="dxa"/>
            </w:tcMar>
          </w:tcPr>
          <w:p>
            <w:pPr>
              <w:spacing w:after="0"/>
            </w:pPr>
            <w:r/>
            <w:r>
              <w:rPr>
                <w:rFonts w:ascii="Aptos" w:hAnsi="Aptos"/>
                <w:b w:val="0"/>
                <w:sz w:val="17"/>
              </w:rPr>
              <w:t>A legally registered organisation identified by a national registry code.</w:t>
            </w:r>
          </w:p>
        </w:tc>
      </w:tr>
      <w:tr>
        <w:tc>
          <w:tcPr>
            <w:tcW w:type="dxa" w:w="2592"/>
            <w:vAlign w:val="top"/>
            <w:tcMar>
              <w:top w:w="70" w:type="dxa"/>
              <w:start w:w="90" w:type="dxa"/>
              <w:bottom w:w="70" w:type="dxa"/>
              <w:end w:w="90" w:type="dxa"/>
            </w:tcMar>
          </w:tcPr>
          <w:p>
            <w:pPr>
              <w:spacing w:after="0"/>
            </w:pPr>
            <w:r/>
            <w:r>
              <w:rPr>
                <w:rFonts w:ascii="Aptos" w:hAnsi="Aptos"/>
                <w:b w:val="0"/>
                <w:sz w:val="17"/>
              </w:rPr>
              <w:t>Registry Code</w:t>
            </w:r>
          </w:p>
        </w:tc>
        <w:tc>
          <w:tcPr>
            <w:tcW w:type="dxa" w:w="7920"/>
            <w:vAlign w:val="top"/>
            <w:tcMar>
              <w:top w:w="70" w:type="dxa"/>
              <w:start w:w="90" w:type="dxa"/>
              <w:bottom w:w="70" w:type="dxa"/>
              <w:end w:w="90" w:type="dxa"/>
            </w:tcMar>
          </w:tcPr>
          <w:p>
            <w:pPr>
              <w:spacing w:after="0"/>
            </w:pPr>
            <w:r/>
            <w:r>
              <w:rPr>
                <w:rFonts w:ascii="Aptos" w:hAnsi="Aptos"/>
                <w:b w:val="0"/>
                <w:sz w:val="17"/>
              </w:rPr>
              <w:t>Official national identifier assigned to a legal entity. The primary match key in this project.</w:t>
            </w:r>
          </w:p>
        </w:tc>
      </w:tr>
      <w:tr>
        <w:tc>
          <w:tcPr>
            <w:tcW w:type="dxa" w:w="2592"/>
            <w:vAlign w:val="top"/>
            <w:tcMar>
              <w:top w:w="70" w:type="dxa"/>
              <w:start w:w="90" w:type="dxa"/>
              <w:bottom w:w="70" w:type="dxa"/>
              <w:end w:w="90" w:type="dxa"/>
            </w:tcMar>
          </w:tcPr>
          <w:p>
            <w:pPr>
              <w:spacing w:after="0"/>
            </w:pPr>
            <w:r/>
            <w:r>
              <w:rPr>
                <w:rFonts w:ascii="Aptos" w:hAnsi="Aptos"/>
                <w:b w:val="0"/>
                <w:sz w:val="17"/>
              </w:rPr>
              <w:t>Golden Record</w:t>
            </w:r>
          </w:p>
        </w:tc>
        <w:tc>
          <w:tcPr>
            <w:tcW w:type="dxa" w:w="7920"/>
            <w:vAlign w:val="top"/>
            <w:tcMar>
              <w:top w:w="70" w:type="dxa"/>
              <w:start w:w="90" w:type="dxa"/>
              <w:bottom w:w="70" w:type="dxa"/>
              <w:end w:w="90" w:type="dxa"/>
            </w:tcMar>
          </w:tcPr>
          <w:p>
            <w:pPr>
              <w:spacing w:after="0"/>
            </w:pPr>
            <w:r/>
            <w:r>
              <w:rPr>
                <w:rFonts w:ascii="Aptos" w:hAnsi="Aptos"/>
                <w:b w:val="0"/>
                <w:sz w:val="17"/>
              </w:rPr>
              <w:t>The single trusted representation of a legal entity assembled according to approved source-authority and survivorship rules.</w:t>
            </w:r>
          </w:p>
        </w:tc>
      </w:tr>
      <w:tr>
        <w:tc>
          <w:tcPr>
            <w:tcW w:type="dxa" w:w="2592"/>
            <w:vAlign w:val="top"/>
            <w:tcMar>
              <w:top w:w="70" w:type="dxa"/>
              <w:start w:w="90" w:type="dxa"/>
              <w:bottom w:w="70" w:type="dxa"/>
              <w:end w:w="90" w:type="dxa"/>
            </w:tcMar>
          </w:tcPr>
          <w:p>
            <w:pPr>
              <w:spacing w:after="0"/>
            </w:pPr>
            <w:r/>
            <w:r>
              <w:rPr>
                <w:rFonts w:ascii="Aptos" w:hAnsi="Aptos"/>
                <w:b w:val="0"/>
                <w:sz w:val="17"/>
              </w:rPr>
              <w:t>Authoritative Source</w:t>
            </w:r>
          </w:p>
        </w:tc>
        <w:tc>
          <w:tcPr>
            <w:tcW w:type="dxa" w:w="7920"/>
            <w:vAlign w:val="top"/>
            <w:tcMar>
              <w:top w:w="70" w:type="dxa"/>
              <w:start w:w="90" w:type="dxa"/>
              <w:bottom w:w="70" w:type="dxa"/>
              <w:end w:w="90" w:type="dxa"/>
            </w:tcMar>
          </w:tcPr>
          <w:p>
            <w:pPr>
              <w:spacing w:after="0"/>
            </w:pPr>
            <w:r/>
            <w:r>
              <w:rPr>
                <w:rFonts w:ascii="Aptos" w:hAnsi="Aptos"/>
                <w:b w:val="0"/>
                <w:sz w:val="17"/>
              </w:rPr>
              <w:t>The approved source whose value takes precedence for a defined data attribute.</w:t>
            </w:r>
          </w:p>
        </w:tc>
      </w:tr>
      <w:tr>
        <w:tc>
          <w:tcPr>
            <w:tcW w:type="dxa" w:w="2592"/>
            <w:vAlign w:val="top"/>
            <w:tcMar>
              <w:top w:w="70" w:type="dxa"/>
              <w:start w:w="90" w:type="dxa"/>
              <w:bottom w:w="70" w:type="dxa"/>
              <w:end w:w="90" w:type="dxa"/>
            </w:tcMar>
          </w:tcPr>
          <w:p>
            <w:pPr>
              <w:spacing w:after="0"/>
            </w:pPr>
            <w:r/>
            <w:r>
              <w:rPr>
                <w:rFonts w:ascii="Aptos" w:hAnsi="Aptos"/>
                <w:b w:val="0"/>
                <w:sz w:val="17"/>
              </w:rPr>
              <w:t>Survivorship Rule</w:t>
            </w:r>
          </w:p>
        </w:tc>
        <w:tc>
          <w:tcPr>
            <w:tcW w:type="dxa" w:w="7920"/>
            <w:vAlign w:val="top"/>
            <w:tcMar>
              <w:top w:w="70" w:type="dxa"/>
              <w:start w:w="90" w:type="dxa"/>
              <w:bottom w:w="70" w:type="dxa"/>
              <w:end w:w="90" w:type="dxa"/>
            </w:tcMar>
          </w:tcPr>
          <w:p>
            <w:pPr>
              <w:spacing w:after="0"/>
            </w:pPr>
            <w:r/>
            <w:r>
              <w:rPr>
                <w:rFonts w:ascii="Aptos" w:hAnsi="Aptos"/>
                <w:b w:val="0"/>
                <w:sz w:val="17"/>
              </w:rPr>
              <w:t>A deterministic rule selecting which source record or attribute value is retained when multiple candidates exist.</w:t>
            </w:r>
          </w:p>
        </w:tc>
      </w:tr>
      <w:tr>
        <w:tc>
          <w:tcPr>
            <w:tcW w:type="dxa" w:w="2592"/>
            <w:vAlign w:val="top"/>
            <w:tcMar>
              <w:top w:w="70" w:type="dxa"/>
              <w:start w:w="90" w:type="dxa"/>
              <w:bottom w:w="70" w:type="dxa"/>
              <w:end w:w="90" w:type="dxa"/>
            </w:tcMar>
          </w:tcPr>
          <w:p>
            <w:pPr>
              <w:spacing w:after="0"/>
            </w:pPr>
            <w:r/>
            <w:r>
              <w:rPr>
                <w:rFonts w:ascii="Aptos" w:hAnsi="Aptos"/>
                <w:b w:val="0"/>
                <w:sz w:val="17"/>
              </w:rPr>
              <w:t>Governed Sale</w:t>
            </w:r>
          </w:p>
        </w:tc>
        <w:tc>
          <w:tcPr>
            <w:tcW w:type="dxa" w:w="7920"/>
            <w:vAlign w:val="top"/>
            <w:tcMar>
              <w:top w:w="70" w:type="dxa"/>
              <w:start w:w="90" w:type="dxa"/>
              <w:bottom w:w="70" w:type="dxa"/>
              <w:end w:w="90" w:type="dxa"/>
            </w:tcMar>
          </w:tcPr>
          <w:p>
            <w:pPr>
              <w:spacing w:after="0"/>
            </w:pPr>
            <w:r/>
            <w:r>
              <w:rPr>
                <w:rFonts w:ascii="Aptos" w:hAnsi="Aptos"/>
                <w:b w:val="0"/>
                <w:sz w:val="17"/>
              </w:rPr>
              <w:t>A unique Active product contract with an activation date and an approved product type.</w:t>
            </w:r>
          </w:p>
        </w:tc>
      </w:tr>
      <w:tr>
        <w:tc>
          <w:tcPr>
            <w:tcW w:type="dxa" w:w="2592"/>
            <w:vAlign w:val="top"/>
            <w:tcMar>
              <w:top w:w="70" w:type="dxa"/>
              <w:start w:w="90" w:type="dxa"/>
              <w:bottom w:w="70" w:type="dxa"/>
              <w:end w:w="90" w:type="dxa"/>
            </w:tcMar>
          </w:tcPr>
          <w:p>
            <w:pPr>
              <w:spacing w:after="0"/>
            </w:pPr>
            <w:r/>
            <w:r>
              <w:rPr>
                <w:rFonts w:ascii="Aptos" w:hAnsi="Aptos"/>
                <w:b w:val="0"/>
                <w:sz w:val="17"/>
              </w:rPr>
              <w:t>Excluded Contract</w:t>
            </w:r>
          </w:p>
        </w:tc>
        <w:tc>
          <w:tcPr>
            <w:tcW w:type="dxa" w:w="7920"/>
            <w:vAlign w:val="top"/>
            <w:tcMar>
              <w:top w:w="70" w:type="dxa"/>
              <w:start w:w="90" w:type="dxa"/>
              <w:bottom w:w="70" w:type="dxa"/>
              <w:end w:w="90" w:type="dxa"/>
            </w:tcMar>
          </w:tcPr>
          <w:p>
            <w:pPr>
              <w:spacing w:after="0"/>
            </w:pPr>
            <w:r/>
            <w:r>
              <w:rPr>
                <w:rFonts w:ascii="Aptos" w:hAnsi="Aptos"/>
                <w:b w:val="0"/>
                <w:sz w:val="17"/>
              </w:rPr>
              <w:t>A unique contract retained for analysis but excluded from governed sales KPIs because it does not meet the approved sale definition.</w:t>
            </w:r>
          </w:p>
        </w:tc>
      </w:tr>
      <w:tr>
        <w:tc>
          <w:tcPr>
            <w:tcW w:type="dxa" w:w="2592"/>
            <w:vAlign w:val="top"/>
            <w:tcMar>
              <w:top w:w="70" w:type="dxa"/>
              <w:start w:w="90" w:type="dxa"/>
              <w:bottom w:w="70" w:type="dxa"/>
              <w:end w:w="90" w:type="dxa"/>
            </w:tcMar>
          </w:tcPr>
          <w:p>
            <w:pPr>
              <w:spacing w:after="0"/>
            </w:pPr>
            <w:r/>
            <w:r>
              <w:rPr>
                <w:rFonts w:ascii="Aptos" w:hAnsi="Aptos"/>
                <w:b w:val="0"/>
                <w:sz w:val="17"/>
              </w:rPr>
              <w:t>Data Quality Dimension</w:t>
            </w:r>
          </w:p>
        </w:tc>
        <w:tc>
          <w:tcPr>
            <w:tcW w:type="dxa" w:w="7920"/>
            <w:vAlign w:val="top"/>
            <w:tcMar>
              <w:top w:w="70" w:type="dxa"/>
              <w:start w:w="90" w:type="dxa"/>
              <w:bottom w:w="70" w:type="dxa"/>
              <w:end w:w="90" w:type="dxa"/>
            </w:tcMar>
          </w:tcPr>
          <w:p>
            <w:pPr>
              <w:spacing w:after="0"/>
            </w:pPr>
            <w:r/>
            <w:r>
              <w:rPr>
                <w:rFonts w:ascii="Aptos" w:hAnsi="Aptos"/>
                <w:b w:val="0"/>
                <w:sz w:val="17"/>
              </w:rPr>
              <w:t>A category describing the nature of a DQ control, such as Completeness, Uniqueness, Validity, Consistency or Referential Integrity.</w:t>
            </w:r>
          </w:p>
        </w:tc>
      </w:tr>
      <w:tr>
        <w:tc>
          <w:tcPr>
            <w:tcW w:type="dxa" w:w="2592"/>
            <w:vAlign w:val="top"/>
            <w:tcMar>
              <w:top w:w="70" w:type="dxa"/>
              <w:start w:w="90" w:type="dxa"/>
              <w:bottom w:w="70" w:type="dxa"/>
              <w:end w:w="90" w:type="dxa"/>
            </w:tcMar>
          </w:tcPr>
          <w:p>
            <w:pPr>
              <w:spacing w:after="0"/>
            </w:pPr>
            <w:r/>
            <w:r>
              <w:rPr>
                <w:rFonts w:ascii="Aptos" w:hAnsi="Aptos"/>
                <w:b w:val="0"/>
                <w:sz w:val="17"/>
              </w:rPr>
              <w:t>Critical Data Element</w:t>
            </w:r>
          </w:p>
        </w:tc>
        <w:tc>
          <w:tcPr>
            <w:tcW w:type="dxa" w:w="7920"/>
            <w:vAlign w:val="top"/>
            <w:tcMar>
              <w:top w:w="70" w:type="dxa"/>
              <w:start w:w="90" w:type="dxa"/>
              <w:bottom w:w="70" w:type="dxa"/>
              <w:end w:w="90" w:type="dxa"/>
            </w:tcMar>
          </w:tcPr>
          <w:p>
            <w:pPr>
              <w:spacing w:after="0"/>
            </w:pPr>
            <w:r/>
            <w:r>
              <w:rPr>
                <w:rFonts w:ascii="Aptos" w:hAnsi="Aptos"/>
                <w:b w:val="0"/>
                <w:sz w:val="17"/>
              </w:rPr>
              <w:t>A data attribute whose failure can materially affect identification, compliance, reporting or business decisions.</w:t>
            </w:r>
          </w:p>
        </w:tc>
      </w:tr>
      <w:tr>
        <w:tc>
          <w:tcPr>
            <w:tcW w:type="dxa" w:w="2592"/>
            <w:vAlign w:val="top"/>
            <w:tcMar>
              <w:top w:w="70" w:type="dxa"/>
              <w:start w:w="90" w:type="dxa"/>
              <w:bottom w:w="70" w:type="dxa"/>
              <w:end w:w="90" w:type="dxa"/>
            </w:tcMar>
          </w:tcPr>
          <w:p>
            <w:pPr>
              <w:spacing w:after="0"/>
            </w:pPr>
            <w:r/>
            <w:r>
              <w:rPr>
                <w:rFonts w:ascii="Aptos" w:hAnsi="Aptos"/>
                <w:b w:val="0"/>
                <w:sz w:val="17"/>
              </w:rPr>
              <w:t>Data Owner</w:t>
            </w:r>
          </w:p>
        </w:tc>
        <w:tc>
          <w:tcPr>
            <w:tcW w:type="dxa" w:w="7920"/>
            <w:vAlign w:val="top"/>
            <w:tcMar>
              <w:top w:w="70" w:type="dxa"/>
              <w:start w:w="90" w:type="dxa"/>
              <w:bottom w:w="70" w:type="dxa"/>
              <w:end w:w="90" w:type="dxa"/>
            </w:tcMar>
          </w:tcPr>
          <w:p>
            <w:pPr>
              <w:spacing w:after="0"/>
            </w:pPr>
            <w:r/>
            <w:r>
              <w:rPr>
                <w:rFonts w:ascii="Aptos" w:hAnsi="Aptos"/>
                <w:b w:val="0"/>
                <w:sz w:val="17"/>
              </w:rPr>
              <w:t>The business role accountable for a data domain, definition, risk and quality expectations.</w:t>
            </w:r>
          </w:p>
        </w:tc>
      </w:tr>
      <w:tr>
        <w:tc>
          <w:tcPr>
            <w:tcW w:type="dxa" w:w="2592"/>
            <w:vAlign w:val="top"/>
            <w:tcMar>
              <w:top w:w="70" w:type="dxa"/>
              <w:start w:w="90" w:type="dxa"/>
              <w:bottom w:w="70" w:type="dxa"/>
              <w:end w:w="90" w:type="dxa"/>
            </w:tcMar>
          </w:tcPr>
          <w:p>
            <w:pPr>
              <w:spacing w:after="0"/>
            </w:pPr>
            <w:r/>
            <w:r>
              <w:rPr>
                <w:rFonts w:ascii="Aptos" w:hAnsi="Aptos"/>
                <w:b w:val="0"/>
                <w:sz w:val="17"/>
              </w:rPr>
              <w:t>Data Steward</w:t>
            </w:r>
          </w:p>
        </w:tc>
        <w:tc>
          <w:tcPr>
            <w:tcW w:type="dxa" w:w="7920"/>
            <w:vAlign w:val="top"/>
            <w:tcMar>
              <w:top w:w="70" w:type="dxa"/>
              <w:start w:w="90" w:type="dxa"/>
              <w:bottom w:w="70" w:type="dxa"/>
              <w:end w:w="90" w:type="dxa"/>
            </w:tcMar>
          </w:tcPr>
          <w:p>
            <w:pPr>
              <w:spacing w:after="0"/>
            </w:pPr>
            <w:r/>
            <w:r>
              <w:rPr>
                <w:rFonts w:ascii="Aptos" w:hAnsi="Aptos"/>
                <w:b w:val="0"/>
                <w:sz w:val="17"/>
              </w:rPr>
              <w:t>The role responsible for day-to-day metadata, DQ monitoring, issue investigation and remediation coordination.</w:t>
            </w:r>
          </w:p>
        </w:tc>
      </w:tr>
      <w:tr>
        <w:tc>
          <w:tcPr>
            <w:tcW w:type="dxa" w:w="2592"/>
            <w:vAlign w:val="top"/>
            <w:tcMar>
              <w:top w:w="70" w:type="dxa"/>
              <w:start w:w="90" w:type="dxa"/>
              <w:bottom w:w="70" w:type="dxa"/>
              <w:end w:w="90" w:type="dxa"/>
            </w:tcMar>
          </w:tcPr>
          <w:p>
            <w:pPr>
              <w:spacing w:after="0"/>
            </w:pPr>
            <w:r/>
            <w:r>
              <w:rPr>
                <w:rFonts w:ascii="Aptos" w:hAnsi="Aptos"/>
                <w:b w:val="0"/>
                <w:sz w:val="17"/>
              </w:rPr>
              <w:t>Sales Target</w:t>
            </w:r>
          </w:p>
        </w:tc>
        <w:tc>
          <w:tcPr>
            <w:tcW w:type="dxa" w:w="7920"/>
            <w:vAlign w:val="top"/>
            <w:tcMar>
              <w:top w:w="70" w:type="dxa"/>
              <w:start w:w="90" w:type="dxa"/>
              <w:bottom w:w="70" w:type="dxa"/>
              <w:end w:w="90" w:type="dxa"/>
            </w:tcMar>
          </w:tcPr>
          <w:p>
            <w:pPr>
              <w:spacing w:after="0"/>
            </w:pPr>
            <w:r/>
            <w:r>
              <w:rPr>
                <w:rFonts w:ascii="Aptos" w:hAnsi="Aptos"/>
                <w:b w:val="0"/>
                <w:sz w:val="17"/>
              </w:rPr>
              <w:t>An approved expected sales count or amount for a month, product and sales channel.</w:t>
            </w:r>
          </w:p>
        </w:tc>
      </w:tr>
    </w:tbl>
    <w:p>
      <w:pPr>
        <w:spacing w:after="0"/>
      </w:pPr>
    </w:p>
    <w:p>
      <w:pPr>
        <w:pStyle w:val="Heading1"/>
        <w:keepNext/>
        <w:spacing w:before="200" w:after="80"/>
      </w:pPr>
      <w:r>
        <w:t>Appendix B – Table Inventory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296"/>
            <w:shd w:fill="1F4E78"/>
            <w:vAlign w:val="center"/>
            <w:tcMar>
              <w:top w:w="70" w:type="dxa"/>
              <w:start w:w="90" w:type="dxa"/>
              <w:bottom w:w="70" w:type="dxa"/>
              <w:end w:w="90" w:type="dxa"/>
            </w:tcMar>
          </w:tcPr>
          <w:p>
            <w:pPr>
              <w:spacing w:after="0"/>
            </w:pPr>
            <w:r/>
            <w:r>
              <w:rPr>
                <w:rFonts w:ascii="Aptos" w:hAnsi="Aptos"/>
                <w:b/>
                <w:color w:val="FFFFFF"/>
                <w:sz w:val="17"/>
              </w:rPr>
              <w:t>Schema</w:t>
            </w:r>
          </w:p>
        </w:tc>
        <w:tc>
          <w:tcPr>
            <w:tcW w:type="dxa" w:w="3168"/>
            <w:shd w:fill="1F4E78"/>
            <w:vAlign w:val="center"/>
            <w:tcMar>
              <w:top w:w="70" w:type="dxa"/>
              <w:start w:w="90" w:type="dxa"/>
              <w:bottom w:w="70" w:type="dxa"/>
              <w:end w:w="90" w:type="dxa"/>
            </w:tcMar>
          </w:tcPr>
          <w:p>
            <w:pPr>
              <w:spacing w:after="0"/>
            </w:pPr>
            <w:r/>
            <w:r>
              <w:rPr>
                <w:rFonts w:ascii="Aptos" w:hAnsi="Aptos"/>
                <w:b/>
                <w:color w:val="FFFFFF"/>
                <w:sz w:val="17"/>
              </w:rPr>
              <w:t>Table</w:t>
            </w:r>
          </w:p>
        </w:tc>
        <w:tc>
          <w:tcPr>
            <w:tcW w:type="dxa" w:w="4824"/>
            <w:shd w:fill="1F4E78"/>
            <w:vAlign w:val="center"/>
            <w:tcMar>
              <w:top w:w="70" w:type="dxa"/>
              <w:start w:w="90" w:type="dxa"/>
              <w:bottom w:w="70" w:type="dxa"/>
              <w:end w:w="90" w:type="dxa"/>
            </w:tcMar>
          </w:tcPr>
          <w:p>
            <w:pPr>
              <w:spacing w:after="0"/>
            </w:pPr>
            <w:r/>
            <w:r>
              <w:rPr>
                <w:rFonts w:ascii="Aptos" w:hAnsi="Aptos"/>
                <w:b/>
                <w:color w:val="FFFFFF"/>
                <w:sz w:val="17"/>
              </w:rPr>
              <w:t>Purpose</w:t>
            </w:r>
          </w:p>
        </w:tc>
        <w:tc>
          <w:tcPr>
            <w:tcW w:type="dxa" w:w="1296"/>
            <w:shd w:fill="1F4E78"/>
            <w:vAlign w:val="center"/>
            <w:tcMar>
              <w:top w:w="70" w:type="dxa"/>
              <w:start w:w="90" w:type="dxa"/>
              <w:bottom w:w="70" w:type="dxa"/>
              <w:end w:w="90" w:type="dxa"/>
            </w:tcMar>
          </w:tcPr>
          <w:p>
            <w:pPr>
              <w:spacing w:after="0"/>
            </w:pPr>
            <w:r/>
            <w:r>
              <w:rPr>
                <w:rFonts w:ascii="Aptos" w:hAnsi="Aptos"/>
                <w:b/>
                <w:color w:val="FFFFFF"/>
                <w:sz w:val="17"/>
              </w:rPr>
              <w:t>Expected rows</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crm_legal_entities</w:t>
            </w:r>
          </w:p>
        </w:tc>
        <w:tc>
          <w:tcPr>
            <w:tcW w:type="dxa" w:w="4824"/>
            <w:vAlign w:val="top"/>
            <w:tcMar>
              <w:top w:w="70" w:type="dxa"/>
              <w:start w:w="90" w:type="dxa"/>
              <w:bottom w:w="70" w:type="dxa"/>
              <w:end w:w="90" w:type="dxa"/>
            </w:tcMar>
          </w:tcPr>
          <w:p>
            <w:pPr>
              <w:spacing w:after="0"/>
            </w:pPr>
            <w:r/>
            <w:r>
              <w:rPr>
                <w:rFonts w:ascii="Aptos" w:hAnsi="Aptos"/>
                <w:b w:val="0"/>
                <w:sz w:val="16"/>
              </w:rPr>
              <w:t>Raw CRM legal-entity source with audit columns.</w:t>
            </w:r>
          </w:p>
        </w:tc>
        <w:tc>
          <w:tcPr>
            <w:tcW w:type="dxa" w:w="1296"/>
            <w:vAlign w:val="top"/>
            <w:tcMar>
              <w:top w:w="70" w:type="dxa"/>
              <w:start w:w="90" w:type="dxa"/>
              <w:bottom w:w="70" w:type="dxa"/>
              <w:end w:w="90" w:type="dxa"/>
            </w:tcMar>
          </w:tcPr>
          <w:p>
            <w:pPr>
              <w:spacing w:after="0"/>
            </w:pPr>
            <w:r/>
            <w:r>
              <w:rPr>
                <w:rFonts w:ascii="Aptos" w:hAnsi="Aptos"/>
                <w:b w:val="0"/>
                <w:sz w:val="16"/>
              </w:rPr>
              <w:t>105</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kyc_legal_entities</w:t>
            </w:r>
          </w:p>
        </w:tc>
        <w:tc>
          <w:tcPr>
            <w:tcW w:type="dxa" w:w="4824"/>
            <w:vAlign w:val="top"/>
            <w:tcMar>
              <w:top w:w="70" w:type="dxa"/>
              <w:start w:w="90" w:type="dxa"/>
              <w:bottom w:w="70" w:type="dxa"/>
              <w:end w:w="90" w:type="dxa"/>
            </w:tcMar>
          </w:tcPr>
          <w:p>
            <w:pPr>
              <w:spacing w:after="0"/>
            </w:pPr>
            <w:r/>
            <w:r>
              <w:rPr>
                <w:rFonts w:ascii="Aptos" w:hAnsi="Aptos"/>
                <w:b w:val="0"/>
                <w:sz w:val="16"/>
              </w:rPr>
              <w:t>Raw KYC source.</w:t>
            </w:r>
          </w:p>
        </w:tc>
        <w:tc>
          <w:tcPr>
            <w:tcW w:type="dxa" w:w="1296"/>
            <w:vAlign w:val="top"/>
            <w:tcMar>
              <w:top w:w="70" w:type="dxa"/>
              <w:start w:w="90" w:type="dxa"/>
              <w:bottom w:w="70" w:type="dxa"/>
              <w:end w:w="90" w:type="dxa"/>
            </w:tcMar>
          </w:tcPr>
          <w:p>
            <w:pPr>
              <w:spacing w:after="0"/>
            </w:pPr>
            <w:r/>
            <w:r>
              <w:rPr>
                <w:rFonts w:ascii="Aptos" w:hAnsi="Aptos"/>
                <w:b w:val="0"/>
                <w:sz w:val="16"/>
              </w:rPr>
              <w:t>100</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registry_legal_entities</w:t>
            </w:r>
          </w:p>
        </w:tc>
        <w:tc>
          <w:tcPr>
            <w:tcW w:type="dxa" w:w="4824"/>
            <w:vAlign w:val="top"/>
            <w:tcMar>
              <w:top w:w="70" w:type="dxa"/>
              <w:start w:w="90" w:type="dxa"/>
              <w:bottom w:w="70" w:type="dxa"/>
              <w:end w:w="90" w:type="dxa"/>
            </w:tcMar>
          </w:tcPr>
          <w:p>
            <w:pPr>
              <w:spacing w:after="0"/>
            </w:pPr>
            <w:r/>
            <w:r>
              <w:rPr>
                <w:rFonts w:ascii="Aptos" w:hAnsi="Aptos"/>
                <w:b w:val="0"/>
                <w:sz w:val="16"/>
              </w:rPr>
              <w:t>Raw registry source.</w:t>
            </w:r>
          </w:p>
        </w:tc>
        <w:tc>
          <w:tcPr>
            <w:tcW w:type="dxa" w:w="1296"/>
            <w:vAlign w:val="top"/>
            <w:tcMar>
              <w:top w:w="70" w:type="dxa"/>
              <w:start w:w="90" w:type="dxa"/>
              <w:bottom w:w="70" w:type="dxa"/>
              <w:end w:w="90" w:type="dxa"/>
            </w:tcMar>
          </w:tcPr>
          <w:p>
            <w:pPr>
              <w:spacing w:after="0"/>
            </w:pPr>
            <w:r/>
            <w:r>
              <w:rPr>
                <w:rFonts w:ascii="Aptos" w:hAnsi="Aptos"/>
                <w:b w:val="0"/>
                <w:sz w:val="16"/>
              </w:rPr>
              <w:t>100</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customers</w:t>
            </w:r>
          </w:p>
        </w:tc>
        <w:tc>
          <w:tcPr>
            <w:tcW w:type="dxa" w:w="4824"/>
            <w:vAlign w:val="top"/>
            <w:tcMar>
              <w:top w:w="70" w:type="dxa"/>
              <w:start w:w="90" w:type="dxa"/>
              <w:bottom w:w="70" w:type="dxa"/>
              <w:end w:w="90" w:type="dxa"/>
            </w:tcMar>
          </w:tcPr>
          <w:p>
            <w:pPr>
              <w:spacing w:after="0"/>
            </w:pPr>
            <w:r/>
            <w:r>
              <w:rPr>
                <w:rFonts w:ascii="Aptos" w:hAnsi="Aptos"/>
                <w:b w:val="0"/>
                <w:sz w:val="16"/>
              </w:rPr>
              <w:t>Raw customer master.</w:t>
            </w:r>
          </w:p>
        </w:tc>
        <w:tc>
          <w:tcPr>
            <w:tcW w:type="dxa" w:w="1296"/>
            <w:vAlign w:val="top"/>
            <w:tcMar>
              <w:top w:w="70" w:type="dxa"/>
              <w:start w:w="90" w:type="dxa"/>
              <w:bottom w:w="70" w:type="dxa"/>
              <w:end w:w="90" w:type="dxa"/>
            </w:tcMar>
          </w:tcPr>
          <w:p>
            <w:pPr>
              <w:spacing w:after="0"/>
            </w:pPr>
            <w:r/>
            <w:r>
              <w:rPr>
                <w:rFonts w:ascii="Aptos" w:hAnsi="Aptos"/>
                <w:b w:val="0"/>
                <w:sz w:val="16"/>
              </w:rPr>
              <w:t>100</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product_contracts</w:t>
            </w:r>
          </w:p>
        </w:tc>
        <w:tc>
          <w:tcPr>
            <w:tcW w:type="dxa" w:w="4824"/>
            <w:vAlign w:val="top"/>
            <w:tcMar>
              <w:top w:w="70" w:type="dxa"/>
              <w:start w:w="90" w:type="dxa"/>
              <w:bottom w:w="70" w:type="dxa"/>
              <w:end w:w="90" w:type="dxa"/>
            </w:tcMar>
          </w:tcPr>
          <w:p>
            <w:pPr>
              <w:spacing w:after="0"/>
            </w:pPr>
            <w:r/>
            <w:r>
              <w:rPr>
                <w:rFonts w:ascii="Aptos" w:hAnsi="Aptos"/>
                <w:b w:val="0"/>
                <w:sz w:val="16"/>
              </w:rPr>
              <w:t>Raw product contracts including deliberate duplicates.</w:t>
            </w:r>
          </w:p>
        </w:tc>
        <w:tc>
          <w:tcPr>
            <w:tcW w:type="dxa" w:w="1296"/>
            <w:vAlign w:val="top"/>
            <w:tcMar>
              <w:top w:w="70" w:type="dxa"/>
              <w:start w:w="90" w:type="dxa"/>
              <w:bottom w:w="70" w:type="dxa"/>
              <w:end w:w="90" w:type="dxa"/>
            </w:tcMar>
          </w:tcPr>
          <w:p>
            <w:pPr>
              <w:spacing w:after="0"/>
            </w:pPr>
            <w:r/>
            <w:r>
              <w:rPr>
                <w:rFonts w:ascii="Aptos" w:hAnsi="Aptos"/>
                <w:b w:val="0"/>
                <w:sz w:val="16"/>
              </w:rPr>
              <w:t>1,025</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sales_targets</w:t>
            </w:r>
          </w:p>
        </w:tc>
        <w:tc>
          <w:tcPr>
            <w:tcW w:type="dxa" w:w="4824"/>
            <w:vAlign w:val="top"/>
            <w:tcMar>
              <w:top w:w="70" w:type="dxa"/>
              <w:start w:w="90" w:type="dxa"/>
              <w:bottom w:w="70" w:type="dxa"/>
              <w:end w:w="90" w:type="dxa"/>
            </w:tcMar>
          </w:tcPr>
          <w:p>
            <w:pPr>
              <w:spacing w:after="0"/>
            </w:pPr>
            <w:r/>
            <w:r>
              <w:rPr>
                <w:rFonts w:ascii="Aptos" w:hAnsi="Aptos"/>
                <w:b w:val="0"/>
                <w:sz w:val="16"/>
              </w:rPr>
              <w:t>Monthly target data.</w:t>
            </w:r>
          </w:p>
        </w:tc>
        <w:tc>
          <w:tcPr>
            <w:tcW w:type="dxa" w:w="1296"/>
            <w:vAlign w:val="top"/>
            <w:tcMar>
              <w:top w:w="70" w:type="dxa"/>
              <w:start w:w="90" w:type="dxa"/>
              <w:bottom w:w="70" w:type="dxa"/>
              <w:end w:w="90" w:type="dxa"/>
            </w:tcMar>
          </w:tcPr>
          <w:p>
            <w:pPr>
              <w:spacing w:after="0"/>
            </w:pPr>
            <w:r/>
            <w:r>
              <w:rPr>
                <w:rFonts w:ascii="Aptos" w:hAnsi="Aptos"/>
                <w:b w:val="0"/>
                <w:sz w:val="16"/>
              </w:rPr>
              <w:t>432</w:t>
            </w:r>
          </w:p>
        </w:tc>
      </w:tr>
      <w:tr>
        <w:tc>
          <w:tcPr>
            <w:tcW w:type="dxa" w:w="1296"/>
            <w:vAlign w:val="top"/>
            <w:tcMar>
              <w:top w:w="70" w:type="dxa"/>
              <w:start w:w="90" w:type="dxa"/>
              <w:bottom w:w="70" w:type="dxa"/>
              <w:end w:w="90" w:type="dxa"/>
            </w:tcMar>
          </w:tcPr>
          <w:p>
            <w:pPr>
              <w:spacing w:after="0"/>
            </w:pPr>
            <w:r/>
            <w:r>
              <w:rPr>
                <w:rFonts w:ascii="Aptos" w:hAnsi="Aptos"/>
                <w:b w:val="0"/>
                <w:sz w:val="16"/>
              </w:rPr>
              <w:t>bronze</w:t>
            </w:r>
          </w:p>
        </w:tc>
        <w:tc>
          <w:tcPr>
            <w:tcW w:type="dxa" w:w="3168"/>
            <w:vAlign w:val="top"/>
            <w:tcMar>
              <w:top w:w="70" w:type="dxa"/>
              <w:start w:w="90" w:type="dxa"/>
              <w:bottom w:w="70" w:type="dxa"/>
              <w:end w:w="90" w:type="dxa"/>
            </w:tcMar>
          </w:tcPr>
          <w:p>
            <w:pPr>
              <w:spacing w:after="0"/>
            </w:pPr>
            <w:r/>
            <w:r>
              <w:rPr>
                <w:rFonts w:ascii="Aptos" w:hAnsi="Aptos"/>
                <w:b w:val="0"/>
                <w:sz w:val="16"/>
              </w:rPr>
              <w:t>branches</w:t>
            </w:r>
          </w:p>
        </w:tc>
        <w:tc>
          <w:tcPr>
            <w:tcW w:type="dxa" w:w="4824"/>
            <w:vAlign w:val="top"/>
            <w:tcMar>
              <w:top w:w="70" w:type="dxa"/>
              <w:start w:w="90" w:type="dxa"/>
              <w:bottom w:w="70" w:type="dxa"/>
              <w:end w:w="90" w:type="dxa"/>
            </w:tcMar>
          </w:tcPr>
          <w:p>
            <w:pPr>
              <w:spacing w:after="0"/>
            </w:pPr>
            <w:r/>
            <w:r>
              <w:rPr>
                <w:rFonts w:ascii="Aptos" w:hAnsi="Aptos"/>
                <w:b w:val="0"/>
                <w:sz w:val="16"/>
              </w:rPr>
              <w:t>Branch reference data.</w:t>
            </w:r>
          </w:p>
        </w:tc>
        <w:tc>
          <w:tcPr>
            <w:tcW w:type="dxa" w:w="1296"/>
            <w:vAlign w:val="top"/>
            <w:tcMar>
              <w:top w:w="70" w:type="dxa"/>
              <w:start w:w="90" w:type="dxa"/>
              <w:bottom w:w="70" w:type="dxa"/>
              <w:end w:w="90" w:type="dxa"/>
            </w:tcMar>
          </w:tcPr>
          <w:p>
            <w:pPr>
              <w:spacing w:after="0"/>
            </w:pPr>
            <w:r/>
            <w:r>
              <w:rPr>
                <w:rFonts w:ascii="Aptos" w:hAnsi="Aptos"/>
                <w:b w:val="0"/>
                <w:sz w:val="16"/>
              </w:rPr>
              <w:t>6</w:t>
            </w:r>
          </w:p>
        </w:tc>
      </w:tr>
      <w:tr>
        <w:tc>
          <w:tcPr>
            <w:tcW w:type="dxa" w:w="1296"/>
            <w:vAlign w:val="top"/>
            <w:tcMar>
              <w:top w:w="70" w:type="dxa"/>
              <w:start w:w="90" w:type="dxa"/>
              <w:bottom w:w="70" w:type="dxa"/>
              <w:end w:w="90" w:type="dxa"/>
            </w:tcMar>
          </w:tcPr>
          <w:p>
            <w:pPr>
              <w:spacing w:after="0"/>
            </w:pPr>
            <w:r/>
            <w:r>
              <w:rPr>
                <w:rFonts w:ascii="Aptos" w:hAnsi="Aptos"/>
                <w:b w:val="0"/>
                <w:sz w:val="16"/>
              </w:rPr>
              <w:t>silver</w:t>
            </w:r>
          </w:p>
        </w:tc>
        <w:tc>
          <w:tcPr>
            <w:tcW w:type="dxa" w:w="3168"/>
            <w:vAlign w:val="top"/>
            <w:tcMar>
              <w:top w:w="70" w:type="dxa"/>
              <w:start w:w="90" w:type="dxa"/>
              <w:bottom w:w="70" w:type="dxa"/>
              <w:end w:w="90" w:type="dxa"/>
            </w:tcMar>
          </w:tcPr>
          <w:p>
            <w:pPr>
              <w:spacing w:after="0"/>
            </w:pPr>
            <w:r/>
            <w:r>
              <w:rPr>
                <w:rFonts w:ascii="Aptos" w:hAnsi="Aptos"/>
                <w:b w:val="0"/>
                <w:sz w:val="16"/>
              </w:rPr>
              <w:t>same seven subject tables</w:t>
            </w:r>
          </w:p>
        </w:tc>
        <w:tc>
          <w:tcPr>
            <w:tcW w:type="dxa" w:w="4824"/>
            <w:vAlign w:val="top"/>
            <w:tcMar>
              <w:top w:w="70" w:type="dxa"/>
              <w:start w:w="90" w:type="dxa"/>
              <w:bottom w:w="70" w:type="dxa"/>
              <w:end w:w="90" w:type="dxa"/>
            </w:tcMar>
          </w:tcPr>
          <w:p>
            <w:pPr>
              <w:spacing w:after="0"/>
            </w:pPr>
            <w:r/>
            <w:r>
              <w:rPr>
                <w:rFonts w:ascii="Aptos" w:hAnsi="Aptos"/>
                <w:b w:val="0"/>
                <w:sz w:val="16"/>
              </w:rPr>
              <w:t>Standardised types and values; DQ defects retained.</w:t>
            </w:r>
          </w:p>
        </w:tc>
        <w:tc>
          <w:tcPr>
            <w:tcW w:type="dxa" w:w="1296"/>
            <w:vAlign w:val="top"/>
            <w:tcMar>
              <w:top w:w="70" w:type="dxa"/>
              <w:start w:w="90" w:type="dxa"/>
              <w:bottom w:w="70" w:type="dxa"/>
              <w:end w:w="90" w:type="dxa"/>
            </w:tcMar>
          </w:tcPr>
          <w:p>
            <w:pPr>
              <w:spacing w:after="0"/>
            </w:pPr>
            <w:r/>
            <w:r>
              <w:rPr>
                <w:rFonts w:ascii="Aptos" w:hAnsi="Aptos"/>
                <w:b w:val="0"/>
                <w:sz w:val="16"/>
              </w:rPr>
              <w:t>Same as Bronze</w:t>
            </w:r>
          </w:p>
        </w:tc>
      </w:tr>
      <w:tr>
        <w:tc>
          <w:tcPr>
            <w:tcW w:type="dxa" w:w="1296"/>
            <w:vAlign w:val="top"/>
            <w:tcMar>
              <w:top w:w="70" w:type="dxa"/>
              <w:start w:w="90" w:type="dxa"/>
              <w:bottom w:w="70" w:type="dxa"/>
              <w:end w:w="90" w:type="dxa"/>
            </w:tcMar>
          </w:tcPr>
          <w:p>
            <w:pPr>
              <w:spacing w:after="0"/>
            </w:pPr>
            <w:r/>
            <w:r>
              <w:rPr>
                <w:rFonts w:ascii="Aptos" w:hAnsi="Aptos"/>
                <w:b w:val="0"/>
                <w:sz w:val="16"/>
              </w:rPr>
              <w:t>gold</w:t>
            </w:r>
          </w:p>
        </w:tc>
        <w:tc>
          <w:tcPr>
            <w:tcW w:type="dxa" w:w="3168"/>
            <w:vAlign w:val="top"/>
            <w:tcMar>
              <w:top w:w="70" w:type="dxa"/>
              <w:start w:w="90" w:type="dxa"/>
              <w:bottom w:w="70" w:type="dxa"/>
              <w:end w:w="90" w:type="dxa"/>
            </w:tcMar>
          </w:tcPr>
          <w:p>
            <w:pPr>
              <w:spacing w:after="0"/>
            </w:pPr>
            <w:r/>
            <w:r>
              <w:rPr>
                <w:rFonts w:ascii="Aptos" w:hAnsi="Aptos"/>
                <w:b w:val="0"/>
                <w:sz w:val="16"/>
              </w:rPr>
              <w:t>dim_legal_entity_golden</w:t>
            </w:r>
          </w:p>
        </w:tc>
        <w:tc>
          <w:tcPr>
            <w:tcW w:type="dxa" w:w="4824"/>
            <w:vAlign w:val="top"/>
            <w:tcMar>
              <w:top w:w="70" w:type="dxa"/>
              <w:start w:w="90" w:type="dxa"/>
              <w:bottom w:w="70" w:type="dxa"/>
              <w:end w:w="90" w:type="dxa"/>
            </w:tcMar>
          </w:tcPr>
          <w:p>
            <w:pPr>
              <w:spacing w:after="0"/>
            </w:pPr>
            <w:r/>
            <w:r>
              <w:rPr>
                <w:rFonts w:ascii="Aptos" w:hAnsi="Aptos"/>
                <w:b w:val="0"/>
                <w:sz w:val="16"/>
              </w:rPr>
              <w:t>Trusted legal entity master.</w:t>
            </w:r>
          </w:p>
        </w:tc>
        <w:tc>
          <w:tcPr>
            <w:tcW w:type="dxa" w:w="1296"/>
            <w:vAlign w:val="top"/>
            <w:tcMar>
              <w:top w:w="70" w:type="dxa"/>
              <w:start w:w="90" w:type="dxa"/>
              <w:bottom w:w="70" w:type="dxa"/>
              <w:end w:w="90" w:type="dxa"/>
            </w:tcMar>
          </w:tcPr>
          <w:p>
            <w:pPr>
              <w:spacing w:after="0"/>
            </w:pPr>
            <w:r/>
            <w:r>
              <w:rPr>
                <w:rFonts w:ascii="Aptos" w:hAnsi="Aptos"/>
                <w:b w:val="0"/>
                <w:sz w:val="16"/>
              </w:rPr>
              <w:t>98</w:t>
            </w:r>
          </w:p>
        </w:tc>
      </w:tr>
      <w:tr>
        <w:tc>
          <w:tcPr>
            <w:tcW w:type="dxa" w:w="1296"/>
            <w:vAlign w:val="top"/>
            <w:tcMar>
              <w:top w:w="70" w:type="dxa"/>
              <w:start w:w="90" w:type="dxa"/>
              <w:bottom w:w="70" w:type="dxa"/>
              <w:end w:w="90" w:type="dxa"/>
            </w:tcMar>
          </w:tcPr>
          <w:p>
            <w:pPr>
              <w:spacing w:after="0"/>
            </w:pPr>
            <w:r/>
            <w:r>
              <w:rPr>
                <w:rFonts w:ascii="Aptos" w:hAnsi="Aptos"/>
                <w:b w:val="0"/>
                <w:sz w:val="16"/>
              </w:rPr>
              <w:t>gold</w:t>
            </w:r>
          </w:p>
        </w:tc>
        <w:tc>
          <w:tcPr>
            <w:tcW w:type="dxa" w:w="3168"/>
            <w:vAlign w:val="top"/>
            <w:tcMar>
              <w:top w:w="70" w:type="dxa"/>
              <w:start w:w="90" w:type="dxa"/>
              <w:bottom w:w="70" w:type="dxa"/>
              <w:end w:w="90" w:type="dxa"/>
            </w:tcMar>
          </w:tcPr>
          <w:p>
            <w:pPr>
              <w:spacing w:after="0"/>
            </w:pPr>
            <w:r/>
            <w:r>
              <w:rPr>
                <w:rFonts w:ascii="Aptos" w:hAnsi="Aptos"/>
                <w:b w:val="0"/>
                <w:sz w:val="16"/>
              </w:rPr>
              <w:t>fct_banking_product_sales</w:t>
            </w:r>
          </w:p>
        </w:tc>
        <w:tc>
          <w:tcPr>
            <w:tcW w:type="dxa" w:w="4824"/>
            <w:vAlign w:val="top"/>
            <w:tcMar>
              <w:top w:w="70" w:type="dxa"/>
              <w:start w:w="90" w:type="dxa"/>
              <w:bottom w:w="70" w:type="dxa"/>
              <w:end w:w="90" w:type="dxa"/>
            </w:tcMar>
          </w:tcPr>
          <w:p>
            <w:pPr>
              <w:spacing w:after="0"/>
            </w:pPr>
            <w:r/>
            <w:r>
              <w:rPr>
                <w:rFonts w:ascii="Aptos" w:hAnsi="Aptos"/>
                <w:b w:val="0"/>
                <w:sz w:val="16"/>
              </w:rPr>
              <w:t>One row per unique contract with governed-sale flag.</w:t>
            </w:r>
          </w:p>
        </w:tc>
        <w:tc>
          <w:tcPr>
            <w:tcW w:type="dxa" w:w="1296"/>
            <w:vAlign w:val="top"/>
            <w:tcMar>
              <w:top w:w="70" w:type="dxa"/>
              <w:start w:w="90" w:type="dxa"/>
              <w:bottom w:w="70" w:type="dxa"/>
              <w:end w:w="90" w:type="dxa"/>
            </w:tcMar>
          </w:tcPr>
          <w:p>
            <w:pPr>
              <w:spacing w:after="0"/>
            </w:pPr>
            <w:r/>
            <w:r>
              <w:rPr>
                <w:rFonts w:ascii="Aptos" w:hAnsi="Aptos"/>
                <w:b w:val="0"/>
                <w:sz w:val="16"/>
              </w:rPr>
              <w:t>1,000</w:t>
            </w:r>
          </w:p>
        </w:tc>
      </w:tr>
      <w:tr>
        <w:tc>
          <w:tcPr>
            <w:tcW w:type="dxa" w:w="1296"/>
            <w:vAlign w:val="top"/>
            <w:tcMar>
              <w:top w:w="70" w:type="dxa"/>
              <w:start w:w="90" w:type="dxa"/>
              <w:bottom w:w="70" w:type="dxa"/>
              <w:end w:w="90" w:type="dxa"/>
            </w:tcMar>
          </w:tcPr>
          <w:p>
            <w:pPr>
              <w:spacing w:after="0"/>
            </w:pPr>
            <w:r/>
            <w:r>
              <w:rPr>
                <w:rFonts w:ascii="Aptos" w:hAnsi="Aptos"/>
                <w:b w:val="0"/>
                <w:sz w:val="16"/>
              </w:rPr>
              <w:t>gold</w:t>
            </w:r>
          </w:p>
        </w:tc>
        <w:tc>
          <w:tcPr>
            <w:tcW w:type="dxa" w:w="3168"/>
            <w:vAlign w:val="top"/>
            <w:tcMar>
              <w:top w:w="70" w:type="dxa"/>
              <w:start w:w="90" w:type="dxa"/>
              <w:bottom w:w="70" w:type="dxa"/>
              <w:end w:w="90" w:type="dxa"/>
            </w:tcMar>
          </w:tcPr>
          <w:p>
            <w:pPr>
              <w:spacing w:after="0"/>
            </w:pPr>
            <w:r/>
            <w:r>
              <w:rPr>
                <w:rFonts w:ascii="Aptos" w:hAnsi="Aptos"/>
                <w:b w:val="0"/>
                <w:sz w:val="16"/>
              </w:rPr>
              <w:t>mart_monthly_sales_kpis</w:t>
            </w:r>
          </w:p>
        </w:tc>
        <w:tc>
          <w:tcPr>
            <w:tcW w:type="dxa" w:w="4824"/>
            <w:vAlign w:val="top"/>
            <w:tcMar>
              <w:top w:w="70" w:type="dxa"/>
              <w:start w:w="90" w:type="dxa"/>
              <w:bottom w:w="70" w:type="dxa"/>
              <w:end w:w="90" w:type="dxa"/>
            </w:tcMar>
          </w:tcPr>
          <w:p>
            <w:pPr>
              <w:spacing w:after="0"/>
            </w:pPr>
            <w:r/>
            <w:r>
              <w:rPr>
                <w:rFonts w:ascii="Aptos" w:hAnsi="Aptos"/>
                <w:b w:val="0"/>
                <w:sz w:val="16"/>
              </w:rPr>
              <w:t>Monthly product/channel actuals and targets.</w:t>
            </w:r>
          </w:p>
        </w:tc>
        <w:tc>
          <w:tcPr>
            <w:tcW w:type="dxa" w:w="1296"/>
            <w:vAlign w:val="top"/>
            <w:tcMar>
              <w:top w:w="70" w:type="dxa"/>
              <w:start w:w="90" w:type="dxa"/>
              <w:bottom w:w="70" w:type="dxa"/>
              <w:end w:w="90" w:type="dxa"/>
            </w:tcMar>
          </w:tcPr>
          <w:p>
            <w:pPr>
              <w:spacing w:after="0"/>
            </w:pPr>
            <w:r/>
            <w:r>
              <w:rPr>
                <w:rFonts w:ascii="Aptos" w:hAnsi="Aptos"/>
                <w:b w:val="0"/>
                <w:sz w:val="16"/>
              </w:rPr>
              <w:t>432</w:t>
            </w:r>
          </w:p>
        </w:tc>
      </w:tr>
      <w:tr>
        <w:tc>
          <w:tcPr>
            <w:tcW w:type="dxa" w:w="1296"/>
            <w:vAlign w:val="top"/>
            <w:tcMar>
              <w:top w:w="70" w:type="dxa"/>
              <w:start w:w="90" w:type="dxa"/>
              <w:bottom w:w="70" w:type="dxa"/>
              <w:end w:w="90" w:type="dxa"/>
            </w:tcMar>
          </w:tcPr>
          <w:p>
            <w:pPr>
              <w:spacing w:after="0"/>
            </w:pPr>
            <w:r/>
            <w:r>
              <w:rPr>
                <w:rFonts w:ascii="Aptos" w:hAnsi="Aptos"/>
                <w:b w:val="0"/>
                <w:sz w:val="16"/>
              </w:rPr>
              <w:t>governance</w:t>
            </w:r>
          </w:p>
        </w:tc>
        <w:tc>
          <w:tcPr>
            <w:tcW w:type="dxa" w:w="3168"/>
            <w:vAlign w:val="top"/>
            <w:tcMar>
              <w:top w:w="70" w:type="dxa"/>
              <w:start w:w="90" w:type="dxa"/>
              <w:bottom w:w="70" w:type="dxa"/>
              <w:end w:w="90" w:type="dxa"/>
            </w:tcMar>
          </w:tcPr>
          <w:p>
            <w:pPr>
              <w:spacing w:after="0"/>
            </w:pPr>
            <w:r/>
            <w:r>
              <w:rPr>
                <w:rFonts w:ascii="Aptos" w:hAnsi="Aptos"/>
                <w:b w:val="0"/>
                <w:sz w:val="16"/>
              </w:rPr>
              <w:t>dq_rule_results</w:t>
            </w:r>
          </w:p>
        </w:tc>
        <w:tc>
          <w:tcPr>
            <w:tcW w:type="dxa" w:w="4824"/>
            <w:vAlign w:val="top"/>
            <w:tcMar>
              <w:top w:w="70" w:type="dxa"/>
              <w:start w:w="90" w:type="dxa"/>
              <w:bottom w:w="70" w:type="dxa"/>
              <w:end w:w="90" w:type="dxa"/>
            </w:tcMar>
          </w:tcPr>
          <w:p>
            <w:pPr>
              <w:spacing w:after="0"/>
            </w:pPr>
            <w:r/>
            <w:r>
              <w:rPr>
                <w:rFonts w:ascii="Aptos" w:hAnsi="Aptos"/>
                <w:b w:val="0"/>
                <w:sz w:val="16"/>
              </w:rPr>
              <w:t>Latest results of 12 DQ controls.</w:t>
            </w:r>
          </w:p>
        </w:tc>
        <w:tc>
          <w:tcPr>
            <w:tcW w:type="dxa" w:w="1296"/>
            <w:vAlign w:val="top"/>
            <w:tcMar>
              <w:top w:w="70" w:type="dxa"/>
              <w:start w:w="90" w:type="dxa"/>
              <w:bottom w:w="70" w:type="dxa"/>
              <w:end w:w="90" w:type="dxa"/>
            </w:tcMar>
          </w:tcPr>
          <w:p>
            <w:pPr>
              <w:spacing w:after="0"/>
            </w:pPr>
            <w:r/>
            <w:r>
              <w:rPr>
                <w:rFonts w:ascii="Aptos" w:hAnsi="Aptos"/>
                <w:b w:val="0"/>
                <w:sz w:val="16"/>
              </w:rPr>
              <w:t>12</w:t>
            </w:r>
          </w:p>
        </w:tc>
      </w:tr>
    </w:tbl>
    <w:p>
      <w:pPr>
        <w:spacing w:after="0"/>
      </w:pPr>
    </w:p>
    <w:p>
      <w:pPr>
        <w:spacing w:before="240"/>
        <w:jc w:val="center"/>
      </w:pPr>
      <w:r>
        <w:rPr>
          <w:b/>
          <w:color w:val="1F4E78"/>
        </w:rPr>
        <w:t>End of Business Requirements Specification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Business Requirements Specification | Portfolio Project | Draft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Banking Data Governance &amp; Sales Reporting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rPr>
      <w:rFonts w:ascii="Aptos" w:hAnsi="Aptos"/>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Data Governance and Sales Reporting Solution – Business Requirements Specification</dc:title>
  <dc:subject>Portfolio project business requirements, data governance and reporting requirements</dc:subject>
  <dc:creator>Allan Vissor</dc:creator>
  <cp:keywords>Microsoft Fabric, Power BI, data governance, data quality, legal entity, sales reporting</cp:keywords>
  <dc:description>generated by python-docx</dc:description>
  <cp:lastModifiedBy/>
  <cp:revision>1</cp:revision>
  <dcterms:created xsi:type="dcterms:W3CDTF">2013-12-23T23:15:00Z</dcterms:created>
  <dcterms:modified xsi:type="dcterms:W3CDTF">2013-12-23T23:15:00Z</dcterms:modified>
  <cp:category/>
</cp:coreProperties>
</file>