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60" w:lineRule="auto"/>
        <w:jc w:val="center"/>
      </w:pPr>
      <w:r>
        <w:rPr>
          <w:rFonts w:ascii="Times New Roman" w:cs="Times New Roman" w:eastAsia="Times New Roman" w:hAnsi="Times New Roman"/>
          <w:b/>
          <w:bCs/>
          <w:sz w:val="32"/>
          <w:szCs w:val="32"/>
        </w:rPr>
        <w:t xml:space="preserve">Diminishing Returns of Electrode Count, Epoch Duration, and Model Complexity in EEG Brain-State Classification</w:t>
      </w:r>
    </w:p>
    <w:p>
      <w:r>
        <w:t>Allan Xia</w:t>
      </w:r>
    </w:p>
    <w:p>
      <w:r>
        <w:t>1. Independent researcher, Prospect, Kentucky, USA; allanxia10@gmail.com</w:t>
      </w:r>
    </w:p>
    <w:p>
      <w:pPr>
        <w:keepNext/>
        <w:spacing w:after="100" w:before="200" w:line="240" w:lineRule="auto"/>
      </w:pPr>
      <w:r>
        <w:rPr>
          <w:rFonts w:ascii="Times New Roman" w:cs="Times New Roman" w:eastAsia="Times New Roman" w:hAnsi="Times New Roman"/>
          <w:b/>
          <w:bCs/>
          <w:sz w:val="28"/>
          <w:szCs w:val="28"/>
        </w:rPr>
        <w:t xml:space="preserve">Abstract</w:t>
      </w:r>
    </w:p>
    <w:p>
      <w:pPr>
        <w:spacing w:after="120" w:line="240" w:lineRule="auto"/>
        <w:jc w:val="both"/>
      </w:pPr>
      <w:r>
        <w:rPr>
          <w:rFonts w:ascii="Times New Roman" w:cs="Times New Roman" w:eastAsia="Times New Roman" w:hAnsi="Times New Roman"/>
          <w:sz w:val="24"/>
          <w:szCs w:val="24"/>
        </w:rPr>
        <w:t>Resting-state electroencephalography (EEG) distinguishes eyes-open from eyes-closed states, a phenomenon documented since Berger described the alpha rhythm in 1929</w:t>
      </w:r>
      <w:r>
        <w:t xml:space="preserve"> ((H. Berger. Über das Elektrenkephalogramm des Menschen. Archiv für Psychiatrie und Nervenkrankheiten. Vol. 87, pg. 527-570, 1929, https://doi.org/10.1007/BF01797193.))</w:t>
      </w:r>
      <w:r>
        <w:t>,</w:t>
      </w:r>
      <w:r>
        <w:rPr>
          <w:rFonts w:ascii="Times New Roman" w:cs="Times New Roman" w:eastAsia="Times New Roman" w:hAnsi="Times New Roman"/>
          <w:sz w:val="24"/>
          <w:szCs w:val="24"/>
        </w:rPr>
        <w:t xml:space="preserve"> so reporting a high classification accuracy for this contrast adds little; the consequential question is how few resources such classification actually requires. This study quantified the marginal contribution of electrode count, epoch duration, and model complexity using the 61-second eyes-open and eyes-closed baseline recordings of 109 adults (64 channels, 160 Hz) from the PhysioNet EEG Motor Movement/Imagery Dataset, of whom 106 provided usable data in both conditions. Recordings were band-pass filtered (1–45 Hz), average-referenced, segmented into 2-second epochs, and reduced to 674 spectral features; all partitions were made over participants rather than epochs, and confidence intervals came from a cluster bootstrap resampling participants. Occipital relative alpha power increased with eye closure in 106 of 106 participants (mean difference +0.292,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A single occipital alpha feature achieved an area under the receiver operating characteristic curve (AUC) of 0.830, whereas 674 features achieved 0.894, and the best nonlinear model exceeded the best linear model by only 0.004 AUC. Reducing 64 electrodes to 19 cost 0.005 AUC, and one occipital electrode retained 0.817. Splitting epochs rather than participants inflated AUC from 0.893 to 0.940. Performance in this paradigm is therefore constrained by physiology and recording duration rather than by feature engineering or model capacity; for low-cost systems targeting this class of contrast, budget spent on electrode placement and window length returns more than budget spent on channel count or model sophistication.</w:t>
      </w:r>
    </w:p>
    <w:p>
      <w:pPr>
        <w:spacing w:after="140" w:line="240" w:lineRule="auto"/>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sz w:val="24"/>
          <w:szCs w:val="24"/>
        </w:rPr>
        <w:t xml:space="preserve">electroencephalography; alpha rhythm; brain-state classification; machine learning; data leakage</w:t>
      </w:r>
    </w:p>
    <w:p>
      <w:pPr>
        <w:keepNext/>
        <w:spacing w:after="100" w:before="200" w:line="240" w:lineRule="auto"/>
      </w:pPr>
      <w:r>
        <w:rPr>
          <w:rFonts w:ascii="Times New Roman" w:cs="Times New Roman" w:eastAsia="Times New Roman" w:hAnsi="Times New Roman"/>
          <w:b/>
          <w:bCs/>
          <w:sz w:val="28"/>
          <w:szCs w:val="28"/>
        </w:rPr>
        <w:t xml:space="preserve">Introduction</w:t>
      </w:r>
    </w:p>
    <w:p>
      <w:pPr>
        <w:spacing w:after="120" w:line="240" w:lineRule="auto"/>
        <w:jc w:val="both"/>
      </w:pPr>
      <w:r>
        <w:rPr>
          <w:rFonts w:ascii="Times New Roman" w:cs="Times New Roman" w:eastAsia="Times New Roman" w:hAnsi="Times New Roman"/>
          <w:sz w:val="24"/>
          <w:szCs w:val="24"/>
        </w:rPr>
        <w:t xml:space="preserve">Electroencephalography (EEG) records the summed postsynaptic potentials of large, spatially aligned cortical neuron populations at the scalp. It has millisecond temporal resolution, poor spatial resolution, and — importantly for applications — an equipment cost that ranges across four orders of magnitude, from research systems with 64 or 256 gel electrodes to consumer headbands with a single dry frontal contact. EEG activity is conventionally divided into frequency bands: delta (1–4 Hz), theta (4–8 Hz), alpha (8–13 Hz), beta (13–30 Hz), and gamma (&gt;30 Hz). Band power in these ranges is the standard descriptive vocabulary for resting-state EEG and the standard feature basis for classification.</w:t>
      </w:r>
    </w:p>
    <w:p>
      <w:pPr>
        <w:spacing w:after="120" w:line="240" w:lineRule="auto"/>
        <w:jc w:val="both"/>
      </w:pPr>
      <w:r>
        <w:rPr>
          <w:rFonts w:ascii="Times New Roman" w:cs="Times New Roman" w:eastAsia="Times New Roman" w:hAnsi="Times New Roman"/>
          <w:sz w:val="24"/>
          <w:szCs w:val="24"/>
        </w:rPr>
        <w:t>Berger's 1929 report of the human alpha rhythm already described its central phenomenon: a roughly 10 Hz posterior oscillation that is prominent with the eyes closed and attenuates on eye opening</w:t>
      </w:r>
      <w:r>
        <w:t xml:space="preserve"> ((H. Berger. Über das Elektrenkephalogramm des Menschen. Archiv für Psychiatrie und Nervenkrankheiten. Vol. 87, pg. 527-570, 1929, https://doi.org/10.1007/BF01797193.))</w:t>
      </w:r>
      <w:r>
        <w:t>.</w:t>
      </w:r>
      <w:r>
        <w:rPr>
          <w:rFonts w:ascii="Times New Roman" w:cs="Times New Roman" w:eastAsia="Times New Roman" w:hAnsi="Times New Roman"/>
          <w:sz w:val="24"/>
          <w:szCs w:val="24"/>
        </w:rPr>
        <w:t xml:space="preserve"> The effect has been quantified repeatedly since, most systematically by Barry et al., who documented the topography and band specificity of the eyes-open/eyes-closed difference in adults</w:t>
      </w:r>
      <w:r>
        <w:t xml:space="preserve"> ((R. J. Barry, A. R. Clarke, S. J. Johnstone, C. A. Magee, J. A. Rushby. EEG differences between eyes-closed and eyes-open resting conditions. Clinical Neurophysiology. Vol. 118, pg. 2765-2773, 2007, https://doi.org/10.1016/j.clinph.2007.07.028.))</w:t>
      </w:r>
      <w:r>
        <w:t>,</w:t>
      </w:r>
      <w:r>
        <w:rPr>
          <w:rFonts w:ascii="Times New Roman" w:cs="Times New Roman" w:eastAsia="Times New Roman" w:hAnsi="Times New Roman"/>
          <w:sz w:val="24"/>
          <w:szCs w:val="24"/>
        </w:rPr>
        <w:t xml:space="preserve"> and by Barry and De Blasio, who showed that it persists in healthy ageing</w:t>
      </w:r>
      <w:r>
        <w:t xml:space="preserve"> ((R. J. Barry, F. M. De Blasio. EEG differences between eyes-closed and eyes-open resting remain in healthy ageing. Biological Psychology. Vol. 129, pg. 293-304, 2017, https://doi.org/10.1016/j.biopsycho.2017.09.010.))</w:t>
      </w:r>
      <w:r>
        <w:t>.</w:t>
      </w:r>
      <w:r>
        <w:rPr>
          <w:rFonts w:ascii="Times New Roman" w:cs="Times New Roman" w:eastAsia="Times New Roman" w:hAnsi="Times New Roman"/>
          <w:sz w:val="24"/>
          <w:szCs w:val="24"/>
        </w:rPr>
        <w:t xml:space="preserve"> Mechanistically, the modern account is not that alpha reflects cortical idling but that it reflects active inhibition. The gating-by-inhibition framework</w:t>
      </w:r>
      <w:r>
        <w:t xml:space="preserve"> ((O. Jensen, A. Mazaheri. Shaping functional architecture by oscillatory alpha activity: gating by inhibition. Frontiers in Human Neuroscience. Vol. 4, pg. 186, 2010, https://doi.org/10.3389/fnhum.2010.00186.))</w:t>
      </w:r>
      <w:r>
        <w:rPr>
          <w:rFonts w:ascii="Times New Roman" w:cs="Times New Roman" w:eastAsia="Times New Roman" w:hAnsi="Times New Roman"/>
          <w:sz w:val="24"/>
          <w:szCs w:val="24"/>
        </w:rPr>
        <w:t xml:space="preserve"> and the inhibition-timing account</w:t>
      </w:r>
      <w:r>
        <w:t xml:space="preserve"> ((W. Klimesch. Alpha-band oscillations, attention, and controlled access to stored information. Trends in Cognitive Sciences. Vol. 16, pg. 606-617, 2012, https://doi.org/10.1016/j.tics.2012.10.007.))</w:t>
      </w:r>
      <w:r>
        <w:rPr>
          <w:rFonts w:ascii="Times New Roman" w:cs="Times New Roman" w:eastAsia="Times New Roman" w:hAnsi="Times New Roman"/>
          <w:sz w:val="24"/>
          <w:szCs w:val="24"/>
        </w:rPr>
        <w:t xml:space="preserve"> both treat alpha as pulsed suppression of task-irrelevant input; Pfurtscheller and Lopes da Silva describe the desynchronization that follows sensory input</w:t>
      </w:r>
      <w:r>
        <w:t xml:space="preserve"> ((G. Pfurtscheller, F. H. Lopes da Silva. Event-related EEG/MEG synchronization and desynchronization: basic principles. Clinical Neurophysiology. Vol. 110, pg. 1842-1857, 1999, https://doi.org/10.1016/S1388-2457(99)00141-8.))</w:t>
      </w:r>
      <w:r>
        <w:t>,</w:t>
      </w:r>
      <w:r>
        <w:rPr>
          <w:rFonts w:ascii="Times New Roman" w:cs="Times New Roman" w:eastAsia="Times New Roman" w:hAnsi="Times New Roman"/>
          <w:sz w:val="24"/>
          <w:szCs w:val="24"/>
        </w:rPr>
        <w:t xml:space="preserve"> and Hughes and Crunelli locate the generator in thalamocortical loops</w:t>
      </w:r>
      <w:r>
        <w:t xml:space="preserve"> ((S. W. Hughes, V. Crunelli. Thalamic mechanisms of EEG alpha rhythms and their pathological implications. The Neuroscientist. Vol. 11, pg. 357-372, 2005, https://doi.org/10.1177/1073858405277450.))</w:t>
      </w:r>
      <w:r>
        <w:t>.</w:t>
      </w:r>
      <w:r>
        <w:rPr>
          <w:rFonts w:ascii="Times New Roman" w:cs="Times New Roman" w:eastAsia="Times New Roman" w:hAnsi="Times New Roman"/>
          <w:sz w:val="24"/>
          <w:szCs w:val="24"/>
        </w:rPr>
        <w:t xml:space="preserve"> A study whose sole contribution is a high eyes-open/eyes-closed classification accuracy adds little; the separability itself is not in doubt.</w:t>
      </w:r>
    </w:p>
    <w:p>
      <w:pPr>
        <w:spacing w:after="120" w:line="240" w:lineRule="auto"/>
        <w:jc w:val="both"/>
      </w:pPr>
      <w:r>
        <w:rPr>
          <w:rFonts w:ascii="Times New Roman" w:cs="Times New Roman" w:eastAsia="Times New Roman" w:hAnsi="Times New Roman"/>
          <w:sz w:val="24"/>
          <w:szCs w:val="24"/>
        </w:rPr>
        <w:t xml:space="preserve">What is genuinely undetermined, and practically consequential, is the </w:t>
      </w:r>
      <w:r>
        <w:rPr>
          <w:rFonts w:ascii="Times New Roman" w:cs="Times New Roman" w:eastAsia="Times New Roman" w:hAnsi="Times New Roman"/>
          <w:i/>
          <w:iCs/>
          <w:sz w:val="24"/>
          <w:szCs w:val="24"/>
        </w:rPr>
        <w:t xml:space="preserve">cost</w:t>
      </w:r>
      <w:r>
        <w:rPr>
          <w:rFonts w:ascii="Times New Roman" w:cs="Times New Roman" w:eastAsia="Times New Roman" w:hAnsi="Times New Roman"/>
          <w:sz w:val="24"/>
          <w:szCs w:val="24"/>
        </w:rPr>
        <w:t xml:space="preserve"> at which the separation can be achieved. A designer choosing hardware faces concrete questions with non-obvious answers. How many electrodes are needed, and does it matter where they go? How long must each recording window be, and can extra time substitute for missing electrodes? Does a machine-learning pipeline over hundreds of features earn its complexity relative to thresholding a single band-power value?</w:t>
      </w:r>
    </w:p>
    <w:p>
      <w:pPr>
        <w:spacing w:after="120" w:line="240" w:lineRule="auto"/>
        <w:jc w:val="both"/>
      </w:pPr>
      <w:r>
        <w:rPr>
          <w:rFonts w:ascii="Times New Roman" w:cs="Times New Roman" w:eastAsia="Times New Roman" w:hAnsi="Times New Roman"/>
          <w:sz w:val="24"/>
          <w:szCs w:val="24"/>
        </w:rPr>
        <w:t>The last question matters beyond this contrast. EEG classification papers routinely report elaborate pipelines without a simple-feature baseline, so it is often impossible to tell how much of the reported performance comes from the method rather than the physiology</w:t>
      </w:r>
      <w:r>
        <w:t xml:space="preserve"> ((F. Lotte, L. Bougrain, A. Cichocki, M. Clerc, M. Congedo, A. Rakotomamonjy, F. Yger. A review of classification algorithms for EEG-based brain-computer interfaces: a 10 year update. Journal of Neural Engineering. Vol. 15, pg. 031005, 2018, https://doi.org/10.1088/1741-2552/aab2f2.))</w:t>
      </w:r>
      <w:r>
        <w:rPr>
          <w:vertAlign w:val="superscript"/>
        </w:rPr>
        <w:t>,</w:t>
      </w:r>
      <w:r>
        <w:t xml:space="preserve"> ((V. Jayaram, A. Barachant. MOABB: trustworthy algorithm benchmarking for BCIs. Journal of Neural Engineering. Vol. 15, pg. 066011, 2018, https://doi.org/10.1088/1741-2552/aadea0.))</w:t>
      </w:r>
      <w:r>
        <w:t>.</w:t>
      </w:r>
      <w:r>
        <w:rPr>
          <w:rFonts w:ascii="Times New Roman" w:cs="Times New Roman" w:eastAsia="Times New Roman" w:hAnsi="Times New Roman"/>
          <w:sz w:val="24"/>
          <w:szCs w:val="24"/>
        </w:rPr>
        <w:t xml:space="preserve"> Measuring the marginal value of complexity directly is more informative than one more accuracy figure.</w:t>
      </w:r>
    </w:p>
    <w:p>
      <w:pPr>
        <w:spacing w:after="120" w:line="240" w:lineRule="auto"/>
        <w:jc w:val="both"/>
      </w:pPr>
      <w:r>
        <w:rPr>
          <w:rFonts w:ascii="Times New Roman" w:cs="Times New Roman" w:eastAsia="Times New Roman" w:hAnsi="Times New Roman"/>
          <w:b/>
          <w:bCs/>
          <w:sz w:val="24"/>
          <w:szCs w:val="24"/>
        </w:rPr>
        <w:t xml:space="preserve">Primary question.</w:t>
      </w:r>
      <w:r>
        <w:rPr>
          <w:rFonts w:ascii="Times New Roman" w:cs="Times New Roman" w:eastAsia="Times New Roman" w:hAnsi="Times New Roman"/>
          <w:sz w:val="24"/>
          <w:szCs w:val="24"/>
        </w:rPr>
        <w:t xml:space="preserve"> How far can electrode count, recording window length, and model complexity be reduced before eyes-open / eyes-closed classification degrades meaningfully, and what is the marginal value of machine-learning complexity over a single physiologically motivated feature? Three hypotheses follow.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a single occipital relative-alpha feature will come within a small margin of a full multivariate model, because the underlying effect is large and low-dimensional.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performance will saturate at a small number of electrodes, with placement mattering more than count at small budgets.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window length will trade off against electrode count, since both increase the effective evidence per decision. A subordinate confirmatory question is whether the classical alpha effect replicates in this dataset at all; if it does not, the cost analysis would be meaningless.</w:t>
      </w:r>
    </w:p>
    <w:p>
      <w:pPr>
        <w:keepNext/>
        <w:spacing w:after="100" w:before="200" w:line="240" w:lineRule="auto"/>
      </w:pPr>
      <w:r>
        <w:rPr>
          <w:rFonts w:ascii="Times New Roman" w:cs="Times New Roman" w:eastAsia="Times New Roman" w:hAnsi="Times New Roman"/>
          <w:b/>
          <w:bCs/>
          <w:sz w:val="28"/>
          <w:szCs w:val="28"/>
        </w:rPr>
        <w:t xml:space="preserve">Methods</w:t>
      </w:r>
    </w:p>
    <w:p>
      <w:pPr>
        <w:keepNext/>
        <w:spacing w:after="70" w:before="140" w:line="240" w:lineRule="auto"/>
      </w:pPr>
      <w:r>
        <w:rPr>
          <w:rFonts w:ascii="Times New Roman" w:cs="Times New Roman" w:eastAsia="Times New Roman" w:hAnsi="Times New Roman"/>
          <w:b/>
          <w:bCs/>
          <w:i/>
          <w:iCs/>
          <w:sz w:val="24"/>
          <w:szCs w:val="24"/>
        </w:rPr>
        <w:t xml:space="preserve">Research design and dataset:</w:t>
      </w:r>
    </w:p>
    <w:p>
      <w:pPr>
        <w:spacing w:after="120" w:line="240" w:lineRule="auto"/>
        <w:jc w:val="both"/>
      </w:pPr>
      <w:r>
        <w:rPr>
          <w:rFonts w:ascii="Times New Roman" w:cs="Times New Roman" w:eastAsia="Times New Roman" w:hAnsi="Times New Roman"/>
          <w:sz w:val="24"/>
          <w:szCs w:val="24"/>
        </w:rPr>
        <w:t>I used the PhysioNet EEG Motor Movement/Imagery Dataset (eegmmidb) v1.0.0</w:t>
      </w:r>
      <w:r>
        <w:t xml:space="preserve"> ((G. Schalk, D. J. McFarland, T. Hinterberger, N. Birbaumer, J. R. Wolpaw. EEG motor movement/imagery database (eegmmidb), version 1.0.0. PhysioNet. 2009, https://doi.org/10.13026/C28G6P.))</w:t>
      </w:r>
      <w:r>
        <w:rPr>
          <w:vertAlign w:val="superscript"/>
        </w:rPr>
        <w:t>,</w:t>
      </w:r>
      <w:r>
        <w:t xml:space="preserve"> ((A. L. Goldberger, L. A. N. Amaral, L. Glass, J. M. Hausdorff, P. C. Ivanov, R. G. Mark, J. E. Mietus, G. B. Moody, C.-K. Peng, H. E. Stanley. PhysioBank, PhysioToolkit, and PhysioNet: components of a new research resource for complex physiologic signals. Circulation. Vol. 101, pg. e215-e220, 2000, https://doi.org/10.1161/01.CIR.101.23.e215.))</w:t>
      </w:r>
      <w:r>
        <w:t>,</w:t>
      </w:r>
      <w:r>
        <w:rPr>
          <w:rFonts w:ascii="Times New Roman" w:cs="Times New Roman" w:eastAsia="Times New Roman" w:hAnsi="Times New Roman"/>
          <w:sz w:val="24"/>
          <w:szCs w:val="24"/>
        </w:rPr>
        <w:t xml:space="preserve"> recorded with the BCI2000 system</w:t>
      </w:r>
      <w:r>
        <w:t xml:space="preserve"> ((G. Schalk, D. J. McFarland, T. Hinterberger, N. Birbaumer, J. R. Wolpaw. BCI2000: a general-purpose brain-computer interface (BCI) system. IEEE Transactions on Biomedical Engineering. Vol. 51, pg. 1034-1043, 2004, https://doi.org/10.1109/TBME.2004.827072.))</w:t>
      </w:r>
      <w:r>
        <w:t>.</w:t>
      </w:r>
      <w:r>
        <w:rPr>
          <w:rFonts w:ascii="Times New Roman" w:cs="Times New Roman" w:eastAsia="Times New Roman" w:hAnsi="Times New Roman"/>
          <w:sz w:val="24"/>
          <w:szCs w:val="24"/>
        </w:rPr>
        <w:t xml:space="preserve"> The dataset contains 109 participants recorded at 64 channels (10-10 extended system) and 160 Hz under the Open Data Commons Attribution License v1.0. Only the two baseline runs were used: R01 (eyes open) and R02 (eyes closed), each 61 s long, so that run identity supplies the condition label. Each participant therefore contributed one eyes-open and one eyes-closed baseline, giving a fully paired within-participant design. This dataset was chosen over alternatives because 109 participants is large enough for participant-level cross-validation to be meaningful, because the two baseline runs provide a simple binary contrast without an intervening task manipulation, and because its permissive license allows redistribution and independent verification.</w:t>
      </w:r>
    </w:p>
    <w:p>
      <w:pPr>
        <w:spacing w:after="120" w:line="240" w:lineRule="auto"/>
        <w:jc w:val="both"/>
      </w:pPr>
      <w:r>
        <w:rPr>
          <w:rFonts w:ascii="Times New Roman" w:cs="Times New Roman" w:eastAsia="Times New Roman" w:hAnsi="Times New Roman"/>
          <w:b/>
          <w:bCs/>
          <w:sz w:val="24"/>
          <w:szCs w:val="24"/>
        </w:rPr>
        <w:t xml:space="preserve">Provenance and integrity.</w:t>
      </w:r>
      <w:r>
        <w:rPr>
          <w:rFonts w:ascii="Times New Roman" w:cs="Times New Roman" w:eastAsia="Times New Roman" w:hAnsi="Times New Roman"/>
          <w:sz w:val="24"/>
          <w:szCs w:val="24"/>
        </w:rPr>
        <w:t xml:space="preserve"> All 218 files were retrieved directly from PhysioNet, and each was hashed and compared against the official SHA-256 manifest before use: 218 of 218 matched exactly, with zero mismatches. The check is not ceremonial. During development an earlier run left simulated test recordings on disk under real filenames; the hash comparison identified all 16 and deleted them rather than analysing them as data. A file that does not match its published hash is discarded, never used. The complete pipeline, together with the numerical results, figures, and provenance record underlying every value reported here, is archived under a permanent identifier</w:t>
      </w:r>
      <w:r>
        <w:t xml:space="preserve"> ((A. Xia. Diminishing returns of electrode count, epoch duration, and model complexity in EEG brain-state classification, version 1.0.0. Zenodo. 2026, https://doi.org/10.5281/zenodo.22243161.))</w:t>
      </w:r>
      <w:r>
        <w:t>.</w:t>
      </w:r>
    </w:p>
    <w:p>
      <w:pPr>
        <w:keepNext/>
        <w:spacing w:after="70" w:before="140" w:line="240" w:lineRule="auto"/>
      </w:pPr>
      <w:r>
        <w:rPr>
          <w:rFonts w:ascii="Times New Roman" w:cs="Times New Roman" w:eastAsia="Times New Roman" w:hAnsi="Times New Roman"/>
          <w:b/>
          <w:bCs/>
          <w:i/>
          <w:iCs/>
          <w:sz w:val="24"/>
          <w:szCs w:val="24"/>
        </w:rPr>
        <w:t xml:space="preserve">Preprocessing:</w:t>
      </w:r>
    </w:p>
    <w:p>
      <w:pPr>
        <w:spacing w:after="60" w:line="240" w:lineRule="auto"/>
        <w:jc w:val="both"/>
      </w:pPr>
      <w:r>
        <w:rPr>
          <w:rFonts w:ascii="Times New Roman" w:cs="Times New Roman" w:eastAsia="Times New Roman" w:hAnsi="Times New Roman"/>
          <w:sz w:val="24"/>
          <w:szCs w:val="24"/>
        </w:rPr>
        <w:t>Preprocessing was implemented with MNE-Python</w:t>
      </w:r>
      <w:r>
        <w:t xml:space="preserve"> ((A. Gramfort, M. Luessi, E. Larson, D. A. Engemann, D. Strohmeier, C. Brodbeck, R. Goj, M. Jas, T. Brooks, L. Parkkonen, M. Hämäläinen. MEG and EEG data analysis with MNE-Python. Frontiers in Neuroscience. Vol. 7, pg. 267, 2013, https://doi.org/10.3389/fnins.2013.00267.))</w:t>
      </w:r>
      <w:r>
        <w:t>,</w:t>
      </w:r>
      <w:r>
        <w:rPr>
          <w:rFonts w:ascii="Times New Roman" w:cs="Times New Roman" w:eastAsia="Times New Roman" w:hAnsi="Times New Roman"/>
          <w:sz w:val="24"/>
          <w:szCs w:val="24"/>
        </w:rPr>
        <w:t xml:space="preserve"> following artifact-handling conventions established in EEGLAB</w:t>
      </w:r>
      <w:r>
        <w:t xml:space="preserve"> ((A. Delorme, S. Makeig. EEGLAB: an open source toolbox for analysis of single-trial EEG dynamics including independent component analysis. Journal of Neuroscience Methods. Vol. 134, pg. 9-21, 2004, https://doi.org/10.1016/j.jneumeth.2003.10.009.))</w:t>
      </w:r>
      <w:r>
        <w:t>.</w:t>
      </w:r>
      <w:r>
        <w:rPr>
          <w:rFonts w:ascii="Times New Roman" w:cs="Times New Roman" w:eastAsia="Times New Roman" w:hAnsi="Times New Roman"/>
          <w:sz w:val="24"/>
          <w:szCs w:val="24"/>
        </w:rPr>
        <w:t xml:space="preserve"> Each decision and its rationale is given below.</w:t>
      </w:r>
    </w:p>
    <w:p>
      <w:pPr>
        <w:spacing w:after="60"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Channel-name standardization and montage.</w:t>
      </w:r>
      <w:r>
        <w:rPr>
          <w:rFonts w:ascii="Times New Roman" w:cs="Times New Roman" w:eastAsia="Times New Roman" w:hAnsi="Times New Roman"/>
          <w:sz w:val="24"/>
          <w:szCs w:val="24"/>
        </w:rPr>
        <w:t xml:space="preserve"> Raw EDF labels are dot-padded (Fc5., C5..); these were mapped to 10-10 names</w:t>
      </w:r>
      <w:r>
        <w:t xml:space="preserve"> ((H. H. Jasper. The ten-twenty electrode system of the International Federation. Electroencephalography and Clinical Neurophysiology. Vol. 10, pg. 371-375, 1958.))</w:t>
      </w:r>
      <w:r>
        <w:rPr>
          <w:rFonts w:ascii="Times New Roman" w:cs="Times New Roman" w:eastAsia="Times New Roman" w:hAnsi="Times New Roman"/>
          <w:sz w:val="24"/>
          <w:szCs w:val="24"/>
        </w:rPr>
        <w:t xml:space="preserve"> and the standard_1005 montage attached. This is required for interpolation and topographic plotting and does not alter the signal.</w:t>
      </w:r>
    </w:p>
    <w:p>
      <w:pPr>
        <w:spacing w:after="60" w:line="240" w:lineRule="auto"/>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Band-pass 1–45 Hz</w:t>
      </w:r>
      <w:r>
        <w:rPr>
          <w:rFonts w:ascii="Times New Roman" w:cs="Times New Roman" w:eastAsia="Times New Roman" w:hAnsi="Times New Roman"/>
          <w:sz w:val="24"/>
          <w:szCs w:val="24"/>
        </w:rPr>
        <w:t xml:space="preserve">, zero-phase FIR. The 1 Hz high-pass removes drift and sweat artifact. The 45 Hz low-pass sits below the 60 Hz US mains frequency, so no notch filter is required. Both edges were fixed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and applied identically to both conditions, so the filter cannot manufacture a group difference.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the 1 Hz high-pass attenuates the lower delta range, so delta estimates here are conservative.</w:t>
      </w:r>
    </w:p>
    <w:p>
      <w:pPr>
        <w:spacing w:after="60" w:line="240" w:lineRule="auto"/>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Bad-channel detection and interpolation.</w:t>
      </w:r>
      <w:r>
        <w:rPr>
          <w:rFonts w:ascii="Times New Roman" w:cs="Times New Roman" w:eastAsia="Times New Roman" w:hAnsi="Times New Roman"/>
          <w:sz w:val="24"/>
          <w:szCs w:val="24"/>
        </w:rPr>
        <w:t xml:space="preserve"> A channel was marked bad if flat, if its log-variance was an extreme robust-</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outlier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&gt; 6), or if its maximum absolute correlation with every other channel fell below 0.30</w:t>
      </w:r>
      <w:r>
        <w:t xml:space="preserve"> ((N. Bigdely-Shamlo, T. Mullen, C. Kothe, K.-M. Su, K. A. Robbins. The PREP pipeline: standardized preprocessing for large-scale EEG analysis. Frontiers in Neuroinformatics. Vol. 9, pg. 16, 2015, https://doi.org/10.3389/fninf.2015.00016.))</w:t>
      </w:r>
      <w:r>
        <w:t>.</w:t>
      </w:r>
      <w:r>
        <w:rPr>
          <w:rFonts w:ascii="Times New Roman" w:cs="Times New Roman" w:eastAsia="Times New Roman" w:hAnsi="Times New Roman"/>
          <w:sz w:val="24"/>
          <w:szCs w:val="24"/>
        </w:rPr>
        <w:t xml:space="preserve"> The correlation criterion is essential: a first attempt using a plain variance-outlier rule flagged all six frontal electrodes on the first participant, because frontal channels legitimately carry high variance from ocular activity rather than being broken. The final rule flagged 123 channels across 216 recordings (0.57 per recording), affecting 76 recordings and 56 of 109 participants; 140 recordings had none. The flags are strongly structured rather than scattered, suggesting that the rule is detecting hardware or contact problems rather than only transient noise. Only 28 of 64 electrode positions were ever flagged. T10 alone accounts for 45 of the 123 (37%), and with its left counterpart T9 the inferior temporal pair makes up 41% of all flags; these electrodes sit at the lower edge of the cap, where contact is hardest to maintain. In 21 cases the same electrode was flagged in both runs of one participant, the signature of a persistently faulty contact rather than transient noise. Two recordings lost a whole frontal cluster of seven and eight electrodes, consistent with a lifted frontal strip. Detection used within-recording statistics only and never saw the condition label.</w:t>
      </w:r>
    </w:p>
    <w:p>
      <w:pPr>
        <w:spacing w:after="60"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Average reference</w:t>
      </w:r>
      <w:r>
        <w:rPr>
          <w:rFonts w:ascii="Times New Roman" w:cs="Times New Roman" w:eastAsia="Times New Roman" w:hAnsi="Times New Roman"/>
          <w:sz w:val="24"/>
          <w:szCs w:val="24"/>
        </w:rPr>
        <w:t xml:space="preserve">, applied after interpolation so that a bad channel is not smeared across the montage. These recordings have no usable physical reference.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an average reference subtracts the mean across electrodes and therefore attenuates spatially broad activity. This is the one preprocessing choice that materially affected results.</w:t>
      </w:r>
    </w:p>
    <w:p>
      <w:pPr>
        <w:spacing w:after="60"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Fixed-length non-overlapping 2-second epochs.</w:t>
      </w:r>
      <w:r>
        <w:rPr>
          <w:rFonts w:ascii="Times New Roman" w:cs="Times New Roman" w:eastAsia="Times New Roman" w:hAnsi="Times New Roman"/>
          <w:sz w:val="24"/>
          <w:szCs w:val="24"/>
        </w:rPr>
        <w:t xml:space="preserve"> Non-overlapping windows keep samples closer to independent; overlapping windows would inflate the apparent sample size.</w:t>
      </w:r>
    </w:p>
    <w:p>
      <w:pPr>
        <w:spacing w:after="60" w:line="240" w:lineRule="auto"/>
        <w:jc w:val="both"/>
      </w:pPr>
      <w:r>
        <w:t>(6) Epoch rejection. An epoch was discarded if more than 20% of channels exceeded a 250 µV peak-to-peak swing. The conventional maximum-peak-to-peak-across-all-channels rule is inappropriate for a 64-channel montage: the maximum is dominated by the single noisiest electrode, and at the usual 150 µV threshold it discarded 97% of epochs in this dataset. The fraction-based rule targets global artifacts (movement, muscle bursts) instead. The threshold pair was fixed before any classification was run, using only the pooled amplitude distribution and one explicit goal — that rejection rates be balanced across conditions, since differential data loss would itself be a confound. At these values, eyes-open epochs were rejected more often than eyes-closed epochs; the resulting asymmetry is examined in the Limitations and robustness analysis. The residual imbalance is examined in the Limitations and in the robustness analysis.</w:t>
      </w:r>
    </w:p>
    <w:p>
      <w:pPr>
        <w:spacing w:after="120" w:line="240" w:lineRule="auto"/>
        <w:jc w:val="both"/>
      </w:pPr>
      <w:r>
        <w:rPr>
          <w:rFonts w:ascii="Times New Roman" w:cs="Times New Roman" w:eastAsia="Times New Roman" w:hAnsi="Times New Roman"/>
          <w:sz w:val="24"/>
          <w:szCs w:val="24"/>
        </w:rPr>
        <w:t>Independent component analysis (ICA) was deliberately not applied by default. These are 61-second recordings with no EOG or ECG channels, so ocular components would have to be identified heuristically rather than by correlation with a reference signal, and misidentification would remove genuine frontal activity</w:t>
      </w:r>
      <w:r>
        <w:t xml:space="preserve"> ((M. Chaumon, D. V. M. Bishop, N. A. Busch. A practical guide to the selection of independent components of the electroencephalogram for artifact correction. Journal of Neuroscience Methods. Vol. 250, pg. 47-63, 2015, https://doi.org/10.1016/j.jneumeth.2015.02.025.))</w:t>
      </w:r>
      <w:r>
        <w:t>.</w:t>
      </w:r>
      <w:r>
        <w:rPr>
          <w:rFonts w:ascii="Times New Roman" w:cs="Times New Roman" w:eastAsia="Times New Roman" w:hAnsi="Times New Roman"/>
          <w:sz w:val="24"/>
          <w:szCs w:val="24"/>
        </w:rPr>
        <w:t xml:space="preserve"> ICA was instead evaluated as a robustness condition.</w:t>
      </w:r>
    </w:p>
    <w:p>
      <w:pPr>
        <w:spacing w:after="120" w:line="240" w:lineRule="auto"/>
        <w:jc w:val="both"/>
      </w:pPr>
      <w:r>
        <w:rPr>
          <w:rFonts w:ascii="Times New Roman" w:cs="Times New Roman" w:eastAsia="Times New Roman" w:hAnsi="Times New Roman"/>
          <w:b/>
          <w:bCs/>
          <w:sz w:val="24"/>
          <w:szCs w:val="24"/>
        </w:rPr>
        <w:t xml:space="preserve">Quality control.</w:t>
      </w:r>
      <w:r>
        <w:rPr>
          <w:rFonts w:ascii="Times New Roman" w:cs="Times New Roman" w:eastAsia="Times New Roman" w:hAnsi="Times New Roman"/>
          <w:sz w:val="24"/>
          <w:szCs w:val="24"/>
        </w:rPr>
        <w:t xml:space="preserve"> 106 of 109 participants were usable. Three (S009, S022, S060) lost an entire condition to artifact rejection and were excluded, since a paired design requires both. Retained participants contributed on average 25.9 eyes-open and 27.9 eyes-closed epochs, giving 5,704 epochs (2,745 eyes open, 2,959 eyes closed).</w:t>
      </w:r>
    </w:p>
    <w:p>
      <w:pPr>
        <w:keepNext/>
        <w:spacing w:after="0" w:before="130"/>
        <w:jc w:val="center"/>
      </w:pPr>
      <w:r>
        <w:drawing>
          <wp:inline distT="0" distB="0" distL="0" distR="0">
            <wp:extent cx="44291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29125" cy="243840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Raw versus preprocessed EEG for one participant in both conditions.</w:t>
      </w:r>
    </w:p>
    <w:p>
      <w:pPr>
        <w:keepNext/>
        <w:spacing w:after="70" w:before="140" w:line="240" w:lineRule="auto"/>
      </w:pPr>
      <w:r>
        <w:rPr>
          <w:rFonts w:ascii="Times New Roman" w:cs="Times New Roman" w:eastAsia="Times New Roman" w:hAnsi="Times New Roman"/>
          <w:b/>
          <w:bCs/>
          <w:i/>
          <w:iCs/>
          <w:sz w:val="24"/>
          <w:szCs w:val="24"/>
        </w:rPr>
        <w:t xml:space="preserve">Variables and feature extraction:</w:t>
      </w:r>
    </w:p>
    <w:p>
      <w:pPr>
        <w:spacing w:after="120" w:line="240" w:lineRule="auto"/>
        <w:jc w:val="both"/>
      </w:pPr>
      <w:r>
        <w:rPr>
          <w:rFonts w:ascii="Times New Roman" w:cs="Times New Roman" w:eastAsia="Times New Roman" w:hAnsi="Times New Roman"/>
          <w:sz w:val="24"/>
          <w:szCs w:val="24"/>
        </w:rPr>
        <w:t xml:space="preserve">Power spectral density was estimated per epoch by Welch's method</w:t>
      </w:r>
      <w:r>
        <w:t xml:space="preserve"> ((P. D. Welch. The use of fast Fourier transform for the estimation of power spectra: a method based on time averaging over short, modified periodograms. IEEE Transactions on Audio and Electroacoustics. Vol. 15, pg. 70-73, 1967, https://doi.org/10.1109/TAU.1967.1161901.))</w:t>
      </w:r>
      <w:r>
        <w:rPr>
          <w:rFonts w:ascii="Times New Roman" w:cs="Times New Roman" w:eastAsia="Times New Roman" w:hAnsi="Times New Roman"/>
          <w:sz w:val="24"/>
          <w:szCs w:val="24"/>
        </w:rPr>
        <w:t xml:space="preserve"> using 1-second Hann segments with 0.8-second overlap (six averaged segments per 2-second epoch, 1 Hz resolution). Band edges followed the conventional definitions endorsed by the IFCN EEG research workgroup</w:t>
      </w:r>
      <w:r>
        <w:t xml:space="preserve"> ((C. Babiloni, R. J. Barry, E. Başar, K. J. Blinowska, A. Cichocki, W. H. I. M. Drinkenburg, W. Klimesch, R. T. Knight, F. Lopes da Silva, P. Nunez, R. Oostenveld, J. Jeong, R. Pascual-Marqui, P. Valdes-Sosa, M. Hallett. International Federation of Clinical Neurophysiology (IFCN) - EEG research workgroup: recommendations on frequency and topographic analysis of resting state EEG rhythms. Part 1. Clinical Neurophysiology. Vol. 131, pg. 285-307, 2020, https://doi.org/10.1016/j.clinph.2019.06.234.))</w:t>
      </w:r>
      <w:r>
        <w:t>.</w:t>
      </w:r>
      <w:r>
        <w:rPr>
          <w:rFonts w:ascii="Times New Roman" w:cs="Times New Roman" w:eastAsia="Times New Roman" w:hAnsi="Times New Roman"/>
          <w:sz w:val="24"/>
          <w:szCs w:val="24"/>
        </w:rPr>
        <w:t xml:space="preserve"> Each epoch yielded 674 features, summarized in Table 1.</w:t>
      </w:r>
    </w:p>
    <w:p>
      <w:pPr>
        <w:keepNext/>
        <w:spacing w:after="60" w:before="140" w:line="240" w:lineRule="auto"/>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The 674 spectral features extracted from each 2-second epoch.</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Layout w:type="fixed"/>
      </w:tblPr>
      <w:tblGrid>
        <w:gridCol w:w="2620"/>
        <w:gridCol w:w="820"/>
        <w:gridCol w:w="5920"/>
      </w:tblGrid>
      <w:tr>
        <w:trPr>
          <w:cantSplit/>
          <w:tblHeader/>
        </w:trPr>
        <w:tc>
          <w:tcPr>
            <w:tcW w:type="dxa" w:w="288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1"/>
                <w:szCs w:val="24"/>
              </w:rPr>
              <w:t xml:space="preserve">Family</w:t>
            </w:r>
          </w:p>
        </w:tc>
        <w:tc>
          <w:tcPr>
            <w:tcW w:type="dxa" w:w="1007"/>
            <w:shd w:fill="EFEFEF" w:val="clear"/>
            <w:tcMar>
              <w:top w:type="dxa" w:w="30"/>
              <w:left w:type="dxa" w:w="90"/>
              <w:bottom w:type="dxa" w:w="30"/>
              <w:right w:type="dxa" w:w="90"/>
            </w:tcMar>
          </w:tcPr>
          <w:p>
            <w:pPr>
              <w:keepNext/>
              <w:spacing w:after="20" w:before="20" w:line="240" w:lineRule="auto"/>
              <w:jc w:val="left"/>
            </w:pPr>
            <w:r>
              <w:rPr>
                <w:b/>
                <w:sz w:val="21"/>
              </w:rPr>
              <w:t>Count</w:t>
            </w:r>
          </w:p>
        </w:tc>
        <w:tc>
          <w:tcPr>
            <w:tcW w:type="dxa" w:w="5472"/>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1"/>
                <w:szCs w:val="24"/>
              </w:rPr>
              <w:t xml:space="preserve">Description</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logabs_&lt;ch&gt;_&lt;band&gt;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320</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log₁₀ absolute band power (µV²). Log scale because EEG power is strongly right-skewed.</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rel_&lt;ch&gt;_&lt;band&gt;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320</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Band power ÷ total 1–45 Hz power. Insensitive to overall gain differences, so more comparable across participants.</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region_&lt;region&gt;_&lt;band&gt;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25</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Mean relative power over frontal / central / temporal / parietal / occipital sites.</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global_&lt;band&gt;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5</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Mean relative power across all channels.</w:t>
            </w:r>
          </w:p>
        </w:tc>
      </w:tr>
      <w:tr>
        <w:trPr>
          <w:cantSplit/>
          <w:tblHeader w:val="false"/>
        </w:trPr>
        <w:tc>
          <w:tcPr>
            <w:tcW w:type="dxa" w:w="288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1"/>
                <w:szCs w:val="24"/>
              </w:rPr>
              <w:t xml:space="preserve">Derived</w:t>
            </w:r>
          </w:p>
        </w:tc>
        <w:tc>
          <w:tcPr>
            <w:tcW w:type="dxa" w:w="1007"/>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1"/>
                <w:szCs w:val="24"/>
              </w:rPr>
              <w:t xml:space="preserve">4</w:t>
            </w:r>
          </w:p>
        </w:tc>
        <w:tc>
          <w:tcPr>
            <w:tcW w:type="dxa" w:w="5472"/>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1"/>
                <w:szCs w:val="24"/>
              </w:rPr>
              <w:t xml:space="preserve">Occipital alpha/theta and alpha/beta log ratios, occipital alpha asymmetry, individual alpha peak frequency.</w:t>
            </w:r>
          </w:p>
        </w:tc>
      </w:tr>
    </w:tbl>
    <w:p>
      <w:pPr>
        <w:spacing w:after="130"/>
      </w:pPr>
    </w:p>
    <w:p>
      <w:pPr>
        <w:spacing w:after="120" w:line="240" w:lineRule="auto"/>
        <w:jc w:val="both"/>
      </w:pPr>
      <w:r>
        <w:rPr>
          <w:rFonts w:ascii="Times New Roman" w:cs="Times New Roman" w:eastAsia="Times New Roman" w:hAnsi="Times New Roman"/>
          <w:sz w:val="24"/>
          <w:szCs w:val="24"/>
        </w:rPr>
        <w:t>Individual alpha peak frequency was retained as a derived feature because alpha frequency varies systematically between individuals</w:t>
      </w:r>
      <w:r>
        <w:t xml:space="preserve"> ((W. Klimesch. EEG alpha and theta oscillations reflect cognitive and memory performance: a review and analysis. Brain Research Reviews. Vol. 29, pg. 169-195, 1999, https://doi.org/10.1016/S0165-0173(98)00056-3.))</w:t>
      </w:r>
      <w:r>
        <w:t>.</w:t>
      </w:r>
      <w:r>
        <w:rPr>
          <w:rFonts w:ascii="Times New Roman" w:cs="Times New Roman" w:eastAsia="Times New Roman" w:hAnsi="Times New Roman"/>
          <w:sz w:val="24"/>
          <w:szCs w:val="24"/>
        </w:rPr>
        <w:t xml:space="preserve"> Nothing is fitted across epochs, so feature extraction cannot leak information between participants. Standardization was deferred to the modeling stage and fitted inside each cross-validation fold.</w:t>
      </w:r>
    </w:p>
    <w:p>
      <w:pPr>
        <w:keepNext/>
        <w:spacing w:after="70" w:before="140" w:line="240" w:lineRule="auto"/>
      </w:pPr>
      <w:r>
        <w:rPr>
          <w:rFonts w:ascii="Times New Roman" w:cs="Times New Roman" w:eastAsia="Times New Roman" w:hAnsi="Times New Roman"/>
          <w:b/>
          <w:bCs/>
          <w:i/>
          <w:iCs/>
          <w:sz w:val="24"/>
          <w:szCs w:val="24"/>
        </w:rPr>
        <w:t xml:space="preserve">Prevention of data leakage:</w:t>
      </w:r>
    </w:p>
    <w:p>
      <w:pPr>
        <w:spacing w:after="60" w:line="240" w:lineRule="auto"/>
        <w:jc w:val="both"/>
      </w:pPr>
      <w:r>
        <w:rPr>
          <w:rFonts w:ascii="Times New Roman" w:cs="Times New Roman" w:eastAsia="Times New Roman" w:hAnsi="Times New Roman"/>
          <w:sz w:val="24"/>
          <w:szCs w:val="24"/>
        </w:rPr>
        <w:t xml:space="preserve">Each participant contributes roughly 54 epochs that share their skull thickness, electrode placement, alpha peak frequency, and overall amplitude. A model given epochs from the same person on both sides of a split can identify the </w:t>
      </w:r>
      <w:r>
        <w:rPr>
          <w:rFonts w:ascii="Times New Roman" w:cs="Times New Roman" w:eastAsia="Times New Roman" w:hAnsi="Times New Roman"/>
          <w:i/>
          <w:iCs/>
          <w:sz w:val="24"/>
          <w:szCs w:val="24"/>
        </w:rPr>
        <w:t xml:space="preserve">person</w:t>
      </w:r>
      <w:r>
        <w:rPr>
          <w:rFonts w:ascii="Times New Roman" w:cs="Times New Roman" w:eastAsia="Times New Roman" w:hAnsi="Times New Roman"/>
          <w:sz w:val="24"/>
          <w:szCs w:val="24"/>
        </w:rPr>
        <w:t xml:space="preserve"> and recall their condition rather than learning anything about brain state</w:t>
      </w:r>
      <w:r>
        <w:t xml:space="preserve"> ((S. Saeb, L. Lonini, A. Jayaraman, D. C. Mohr, K. P. Kording. The need to approximate the use-case in clinical machine learning. GigaScience. Vol. 6, pg. 1-9, 2017, https://doi.org/10.1093/gigascience/gix019.))</w:t>
      </w:r>
      <w:r>
        <w:rPr>
          <w:vertAlign w:val="superscript"/>
        </w:rPr>
        <w:t>,</w:t>
      </w:r>
      <w:r>
        <w:t xml:space="preserve"> ((S. Kaufman, S. Rosset, C. Perlich, O. Stitelman. Leakage in data mining: formulation, detection, and avoidance. ACM Transactions on Knowledge Discovery from Data. Vol. 6, pg. 15, 2012, https://doi.org/10.1145/2382577.2382579.))</w:t>
      </w:r>
      <w:r>
        <w:t>.</w:t>
      </w:r>
      <w:r>
        <w:rPr>
          <w:rFonts w:ascii="Times New Roman" w:cs="Times New Roman" w:eastAsia="Times New Roman" w:hAnsi="Times New Roman"/>
          <w:sz w:val="24"/>
          <w:szCs w:val="24"/>
        </w:rPr>
        <w:t xml:space="preserve"> Accordingly:</w:t>
      </w:r>
    </w:p>
    <w:p>
      <w:pPr>
        <w:spacing w:after="55" w:line="240" w:lineRule="auto"/>
        <w:jc w:val="both"/>
      </w:pPr>
      <w:r>
        <w:rPr>
          <w:rFonts w:ascii="Times New Roman" w:cs="Times New Roman" w:eastAsia="Times New Roman" w:hAnsi="Times New Roman"/>
          <w:sz w:val="24"/>
          <w:szCs w:val="24"/>
        </w:rPr>
        <w:t xml:space="preserve">(1) The held-out set was formed by GroupShuffleSplit over participants (30%), yielding 74 training and 32 held-out participants, and was untouched until final evaluation.</w:t>
      </w:r>
    </w:p>
    <w:p>
      <w:pPr>
        <w:spacing w:after="55" w:line="240" w:lineRule="auto"/>
        <w:jc w:val="both"/>
      </w:pPr>
      <w:r>
        <w:rPr>
          <w:rFonts w:ascii="Times New Roman" w:cs="Times New Roman" w:eastAsia="Times New Roman" w:hAnsi="Times New Roman"/>
          <w:sz w:val="24"/>
          <w:szCs w:val="24"/>
        </w:rPr>
        <w:t xml:space="preserve">(2) Hyperparameter searches used GroupKFold over training participants only.</w:t>
      </w:r>
    </w:p>
    <w:p>
      <w:pPr>
        <w:spacing w:after="55" w:line="240" w:lineRule="auto"/>
        <w:jc w:val="both"/>
      </w:pPr>
      <w:r>
        <w:rPr>
          <w:rFonts w:ascii="Times New Roman" w:cs="Times New Roman" w:eastAsia="Times New Roman" w:hAnsi="Times New Roman"/>
          <w:sz w:val="24"/>
          <w:szCs w:val="24"/>
        </w:rPr>
        <w:t>(3) All scaling was fitted inside folds via scikit-learn Pipeline objects</w:t>
      </w:r>
      <w:r>
        <w:t xml:space="preserve"> ((F. Pedregosa, G. Varoquaux, A. Gramfort, V. Michel, B. Thirion, O. Grisel, M. Blondel, P. Prettenhofer, R. Weiss, V. Dubourg, J. Vanderplas, A. Passos, D. Cournapeau, M. Brucher, M. Perrot, É. Duchesnay. Scikit-learn: machine learning in Python. Journal of Machine Learning Research. Vol. 12, pg. 2825-2830, 2011.))</w:t>
      </w:r>
      <w:r>
        <w:t>.</w:t>
      </w:r>
    </w:p>
    <w:p>
      <w:pPr>
        <w:spacing w:after="55" w:line="240" w:lineRule="auto"/>
        <w:jc w:val="both"/>
      </w:pPr>
      <w:r>
        <w:rPr>
          <w:rFonts w:ascii="Times New Roman" w:cs="Times New Roman" w:eastAsia="Times New Roman" w:hAnsi="Times New Roman"/>
          <w:sz w:val="24"/>
          <w:szCs w:val="24"/>
        </w:rPr>
        <w:t xml:space="preserve">(4) Leave-one-subject-out (LOSO) cross-validation over all 106 participants provides a second, more demanding generalization estimate.</w:t>
      </w:r>
    </w:p>
    <w:p>
      <w:pPr>
        <w:spacing w:after="55" w:line="240" w:lineRule="auto"/>
        <w:jc w:val="both"/>
      </w:pPr>
      <w:r>
        <w:rPr>
          <w:rFonts w:ascii="Times New Roman" w:cs="Times New Roman" w:eastAsia="Times New Roman" w:hAnsi="Times New Roman"/>
          <w:sz w:val="24"/>
          <w:szCs w:val="24"/>
        </w:rPr>
        <w:t xml:space="preserve">(5) An assertion in the training code verifies that no participant appears on both sides of the split.</w:t>
      </w:r>
    </w:p>
    <w:p>
      <w:pPr>
        <w:keepNext/>
        <w:spacing w:after="70" w:before="140" w:line="240" w:lineRule="auto"/>
      </w:pPr>
      <w:r>
        <w:rPr>
          <w:rFonts w:ascii="Times New Roman" w:cs="Times New Roman" w:eastAsia="Times New Roman" w:hAnsi="Times New Roman"/>
          <w:b/>
          <w:bCs/>
          <w:i/>
          <w:iCs/>
          <w:sz w:val="24"/>
          <w:szCs w:val="24"/>
        </w:rPr>
        <w:t xml:space="preserve">Data analysis:</w:t>
      </w:r>
    </w:p>
    <w:p>
      <w:pPr>
        <w:spacing w:after="120" w:line="240" w:lineRule="auto"/>
        <w:jc w:val="both"/>
      </w:pPr>
      <w:r>
        <w:rPr>
          <w:rFonts w:ascii="Times New Roman" w:cs="Times New Roman" w:eastAsia="Times New Roman" w:hAnsi="Times New Roman"/>
          <w:sz w:val="24"/>
          <w:szCs w:val="24"/>
        </w:rPr>
        <w:t xml:space="preserve">The unit of analysis is the participant, not the epoch. Averaging each participant's epochs before testing avoids pseudoreplication; testing at the epoch level would inflate the effective sample size roughly fiftyfold. Because every participant provides both conditions, comparisons are paired: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with Wilcoxon signed-rank as a distribution-free check, Cohen's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with 95% confidence intervals on the mean paired difference, and Benjamini–Hochberg false discovery rate control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 across the 320 channel × band comparisons</w:t>
      </w:r>
      <w:r>
        <w:t xml:space="preserve"> ((Y. Benjamini, Y. Hochberg. Controlling the false discovery rate: a practical and powerful approach to multiple testing. Journal of the Royal Statistical Society: Series B. Vol. 57, pg. 289-300, 1995, https://doi.org/10.1111/j.2517-6161.1995.tb02031.x.))</w:t>
      </w:r>
      <w:r>
        <w:t>.</w:t>
      </w:r>
    </w:p>
    <w:p>
      <w:pPr>
        <w:spacing w:after="120" w:line="240" w:lineRule="auto"/>
        <w:jc w:val="both"/>
      </w:pPr>
      <w:r>
        <w:rPr>
          <w:rFonts w:ascii="Times New Roman" w:cs="Times New Roman" w:eastAsia="Times New Roman" w:hAnsi="Times New Roman"/>
          <w:sz w:val="24"/>
          <w:szCs w:val="24"/>
        </w:rPr>
        <w:t xml:space="preserve">Relative band power is compositional — the five bands sum to one, so a genuine rise in one band mechanically depresses every other. I therefore repeated the tests on log absolute power to distinguish real changes from renormalization artifacts.</w:t>
      </w:r>
    </w:p>
    <w:p>
      <w:pPr>
        <w:spacing w:after="120" w:line="240" w:lineRule="auto"/>
        <w:jc w:val="both"/>
      </w:pPr>
      <w:r>
        <w:rPr>
          <w:rFonts w:ascii="Times New Roman" w:cs="Times New Roman" w:eastAsia="Times New Roman" w:hAnsi="Times New Roman"/>
          <w:sz w:val="24"/>
          <w:szCs w:val="24"/>
        </w:rPr>
        <w:t xml:space="preserve">Model comparison used a dummy classifier (most-frequent), logistic regression, linear SVM, random forest, and histogram gradient boosting, tuned by grid search where a grid applied. For the complexity sweep, the learner was held fixed at logistic regression with the selected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0.01 and varied only the data, because re-tuning per configuration would confound "this configuration carries more information" with "this configuration got a luckier search". Electrode budgets were compared against random same-size electrode subsets (10 draws each), so that an informed placement can be judged against an arbitrary one.</w:t>
      </w:r>
    </w:p>
    <w:p>
      <w:pPr>
        <w:spacing w:after="120" w:line="240" w:lineRule="auto"/>
        <w:jc w:val="both"/>
      </w:pPr>
      <w:r>
        <w:rPr>
          <w:rFonts w:ascii="Times New Roman" w:cs="Times New Roman" w:eastAsia="Times New Roman" w:hAnsi="Times New Roman"/>
          <w:sz w:val="24"/>
          <w:szCs w:val="24"/>
        </w:rPr>
        <w:t>Confidence intervals use a cluster bootstrap resampling participants with replacement (2,000 draws for headline models). An ordinary bootstrap over epochs would treat ~54 dependent observations as independent and report intervals several times too narrow</w:t>
      </w:r>
      <w:r>
        <w:t xml:space="preserve"> ((G. Varoquaux. Cross-validation failure: small sample sizes lead to large error bars. NeuroImage. Vol. 180, pg. 68-77, 2018, https://doi.org/10.1016/j.neuroimage.2017.06.061.))</w:t>
      </w:r>
      <w:r>
        <w:t>.</w:t>
      </w:r>
    </w:p>
    <w:p>
      <w:pPr>
        <w:keepNext/>
        <w:spacing w:after="70" w:before="140" w:line="240" w:lineRule="auto"/>
      </w:pPr>
      <w:r>
        <w:rPr>
          <w:rFonts w:ascii="Times New Roman" w:cs="Times New Roman" w:eastAsia="Times New Roman" w:hAnsi="Times New Roman"/>
          <w:b/>
          <w:bCs/>
          <w:i/>
          <w:iCs/>
          <w:sz w:val="24"/>
          <w:szCs w:val="24"/>
        </w:rPr>
        <w:t xml:space="preserve">Ethical considerations and availability:</w:t>
      </w:r>
    </w:p>
    <w:p>
      <w:pPr>
        <w:spacing w:after="120" w:line="240" w:lineRule="auto"/>
        <w:jc w:val="both"/>
      </w:pPr>
      <w:r>
        <w:rPr>
          <w:rFonts w:ascii="Times New Roman" w:cs="Times New Roman" w:eastAsia="Times New Roman" w:hAnsi="Times New Roman"/>
          <w:sz w:val="24"/>
          <w:szCs w:val="24"/>
        </w:rPr>
        <w:t>All EEG recordings analyzed here are from the EEG Motor Movement/Imagery Database v1.0.0, archived at PhysioNet under the Open Data Commons Attribution License v1.0</w:t>
      </w:r>
      <w:r>
        <w:t xml:space="preserve"> ((G. Schalk, D. J. McFarland, T. Hinterberger, N. Birbaumer, J. R. Wolpaw. EEG motor movement/imagery database (eegmmidb), version 1.0.0. PhysioNet. 2009, https://doi.org/10.13026/C28G6P.))</w:t>
      </w:r>
      <w:r>
        <w:t>.</w:t>
      </w:r>
      <w:r>
        <w:rPr>
          <w:rFonts w:ascii="Times New Roman" w:cs="Times New Roman" w:eastAsia="Times New Roman" w:hAnsi="Times New Roman"/>
          <w:sz w:val="24"/>
          <w:szCs w:val="24"/>
        </w:rPr>
        <w:t xml:space="preserve"> The complete analysis pipeline, the numerical results underlying every value reported here, the published figures, and the checksum verification record are archived under a permanent identifier, cited in the published version</w:t>
      </w:r>
      <w:r>
        <w:t xml:space="preserve"> ((A. Xia. Diminishing returns of electrode count, epoch duration, and model complexity in EEG brain-state classification, version 1.0.0. Zenodo. 2026, https://doi.org/10.5281/zenodo.22243161.))</w:t>
      </w:r>
      <w:r>
        <w:t>.</w:t>
      </w:r>
      <w:r>
        <w:rPr>
          <w:rFonts w:ascii="Times New Roman" w:cs="Times New Roman" w:eastAsia="Times New Roman" w:hAnsi="Times New Roman"/>
          <w:sz w:val="24"/>
          <w:szCs w:val="24"/>
        </w:rPr>
        <w:t xml:space="preserve"> The pipeline reproduces end to end with a single command, and random seeds are fixed at 42 throughout. Analyses used MNE-Python</w:t>
      </w:r>
      <w:r>
        <w:t xml:space="preserve"> ((A. Gramfort, M. Luessi, E. Larson, D. A. Engemann, D. Strohmeier, C. Brodbeck, R. Goj, M. Jas, T. Brooks, L. Parkkonen, M. Hämäläinen. MEG and EEG data analysis with MNE-Python. Frontiers in Neuroscience. Vol. 7, pg. 267, 2013, https://doi.org/10.3389/fnins.2013.00267.))</w:t>
      </w:r>
      <w:r>
        <w:rPr>
          <w:rFonts w:ascii="Times New Roman" w:cs="Times New Roman" w:eastAsia="Times New Roman" w:hAnsi="Times New Roman"/>
          <w:sz w:val="24"/>
          <w:szCs w:val="24"/>
        </w:rPr>
        <w:t xml:space="preserve"> and scikit-learn</w:t>
      </w:r>
      <w:r>
        <w:t xml:space="preserve"> ((F. Pedregosa, G. Varoquaux, A. Gramfort, V. Michel, B. Thirion, O. Grisel, M. Blondel, P. Prettenhofer, R. Weiss, V. Dubourg, J. Vanderplas, A. Passos, D. Cournapeau, M. Brucher, M. Perrot, É. Duchesnay. Scikit-learn: machine learning in Python. Journal of Machine Learning Research. Vol. 12, pg. 2825-2830, 2011.))</w:t>
      </w:r>
      <w:r>
        <w:t>.</w:t>
      </w:r>
      <w:r>
        <w:rPr>
          <w:rFonts w:ascii="Times New Roman" w:cs="Times New Roman" w:eastAsia="Times New Roman" w:hAnsi="Times New Roman"/>
          <w:sz w:val="24"/>
          <w:szCs w:val="24"/>
        </w:rPr>
        <w:t xml:space="preserve"> No new data were generated for this study, no human participants were recruited, and no new recordings were made, so institutional review board approval was not required for this secondary analysis of fully de-identified public data. This research received no funding, and the author declares no competing interests.</w:t>
      </w:r>
    </w:p>
    <w:p>
      <w:pPr>
        <w:keepNext/>
        <w:spacing w:after="100" w:before="200" w:line="240" w:lineRule="auto"/>
      </w:pPr>
      <w:r>
        <w:rPr>
          <w:rFonts w:ascii="Times New Roman" w:cs="Times New Roman" w:eastAsia="Times New Roman" w:hAnsi="Times New Roman"/>
          <w:b/>
          <w:bCs/>
          <w:sz w:val="28"/>
          <w:szCs w:val="28"/>
        </w:rPr>
        <w:t xml:space="preserve">Results</w:t>
      </w:r>
    </w:p>
    <w:p>
      <w:pPr>
        <w:keepNext/>
        <w:spacing w:after="70" w:before="140" w:line="240" w:lineRule="auto"/>
      </w:pPr>
      <w:r>
        <w:rPr>
          <w:rFonts w:ascii="Times New Roman" w:cs="Times New Roman" w:eastAsia="Times New Roman" w:hAnsi="Times New Roman"/>
          <w:b/>
          <w:bCs/>
          <w:i/>
          <w:iCs/>
          <w:sz w:val="24"/>
          <w:szCs w:val="24"/>
        </w:rPr>
        <w:t xml:space="preserve">Replication of the classical alpha effect:</w:t>
      </w:r>
    </w:p>
    <w:p>
      <w:pPr>
        <w:spacing w:after="120" w:line="240" w:lineRule="auto"/>
        <w:jc w:val="both"/>
      </w:pPr>
      <w:r>
        <w:rPr>
          <w:rFonts w:ascii="Times New Roman" w:cs="Times New Roman" w:eastAsia="Times New Roman" w:hAnsi="Times New Roman"/>
          <w:sz w:val="24"/>
          <w:szCs w:val="24"/>
        </w:rPr>
        <w:t xml:space="preserve">Occipital (O1/Oz/O2) relative alpha power was higher with eyes closed in 106 of 106 participants — every single one. The mean paired difference was +0.292 (95% CI [+0.257, +0.327]),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(105) = 16.45,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8.1 × 10</w:t>
      </w:r>
      <w:r>
        <w:rPr>
          <w:rFonts w:ascii="Times New Roman" w:cs="Times New Roman" w:eastAsia="Times New Roman" w:hAnsi="Times New Roman"/>
          <w:sz w:val="24"/>
          <w:szCs w:val="24"/>
          <w:vertAlign w:val="superscript"/>
        </w:rPr>
        <w:t xml:space="preserve">−31</w:t>
      </w:r>
      <w:r>
        <w:rPr>
          <w:rFonts w:ascii="Times New Roman" w:cs="Times New Roman" w:eastAsia="Times New Roman" w:hAnsi="Times New Roman"/>
          <w:sz w:val="24"/>
          <w:szCs w:val="24"/>
        </w:rPr>
        <w:t xml:space="preserve">; the distribution-free Wilcoxon check agreed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4.0 × 10</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Of the 320 channel × band comparisons on log absolute power, 233 survived Benjamini–Hochberg correction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w:t>
      </w:r>
    </w:p>
    <w:p>
      <w:pPr>
        <w:spacing w:after="120" w:line="240" w:lineRule="auto"/>
        <w:jc w:val="both"/>
      </w:pPr>
      <w:r>
        <w:rPr>
          <w:rFonts w:ascii="Times New Roman" w:cs="Times New Roman" w:eastAsia="Times New Roman" w:hAnsi="Times New Roman"/>
          <w:sz w:val="24"/>
          <w:szCs w:val="24"/>
        </w:rPr>
        <w:t xml:space="preserve">Separating genuine change from compositional renormalization was informative (Table 2, Figure 3). Two findings would have been missed by reporting relative power alone. Theta's apparent decrease is entirely a renormalization artifact: its absolute power does not change reliably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0.079). Beta's apparent slight decrease in relative power conceals a substantial genuine increase in absolute power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+1.21, a 1.7-fold rise). In absolute terms occipital alpha power rises 5.4-fold on eye closure. The eight largest single-channel effects in the entire dataset are all alpha-band and all posterior: PO8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+1.68), O2 (+1.66), O1 (+1.64), Oz (+1.58), Iz (+1.57), PO4 (+1.57), PO3 (+1.56) and PO7 (+1.56). No non-alpha, non-posterior effect comes close.</w:t>
      </w:r>
    </w:p>
    <w:p>
      <w:pPr>
        <w:keepNext/>
        <w:spacing w:after="60" w:before="140" w:line="240" w:lineRule="auto"/>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Whole-scalp relative power versus occipital log absolute power, eyes closed minus eyes open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106).</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Layout w:type="fixed"/>
      </w:tblPr>
      <w:tblGrid>
        <w:gridCol w:w="900"/>
        <w:gridCol w:w="830"/>
        <w:gridCol w:w="830"/>
        <w:gridCol w:w="990"/>
        <w:gridCol w:w="890"/>
        <w:gridCol w:w="890"/>
        <w:gridCol w:w="990"/>
        <w:gridCol w:w="3040"/>
      </w:tblGrid>
      <w:tr>
        <w:trPr>
          <w:cantSplit/>
          <w:tblHeader/>
        </w:trPr>
        <w:tc>
          <w:tcPr>
            <w:tcW w:type="dxa" w:w="936"/>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19"/>
                <w:szCs w:val="24"/>
              </w:rPr>
              <w:t xml:space="preserve">Band</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Rel. Δ</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Rel. </w:t>
            </w:r>
            <w:r>
              <w:rPr>
                <w:rFonts w:ascii="Times New Roman" w:cs="Times New Roman" w:eastAsia="Times New Roman" w:hAnsi="Times New Roman"/>
                <w:b/>
                <w:bCs/>
                <w:i/>
                <w:iCs/>
                <w:sz w:val="19"/>
                <w:szCs w:val="24"/>
              </w:rPr>
              <w:t xml:space="preserve">d</w:t>
            </w:r>
            <w:r>
              <w:rPr>
                <w:rFonts w:ascii="Times New Roman" w:cs="Times New Roman" w:eastAsia="Times New Roman" w:hAnsi="Times New Roman"/>
                <w:b/>
                <w:bCs/>
                <w:sz w:val="19"/>
                <w:szCs w:val="24"/>
                <w:vertAlign w:val="subscript"/>
              </w:rPr>
              <w:t xml:space="preserve">z</w:t>
            </w:r>
          </w:p>
        </w:tc>
        <w:tc>
          <w:tcPr>
            <w:tcW w:type="dxa" w:w="108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Rel. </w:t>
            </w:r>
            <w:r>
              <w:rPr>
                <w:rFonts w:ascii="Times New Roman" w:cs="Times New Roman" w:eastAsia="Times New Roman" w:hAnsi="Times New Roman"/>
                <w:b/>
                <w:bCs/>
                <w:i/>
                <w:iCs/>
                <w:sz w:val="19"/>
                <w:szCs w:val="24"/>
              </w:rPr>
              <w:t xml:space="preserve">q</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Abs. Δ</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Abs. </w:t>
            </w:r>
            <w:r>
              <w:rPr>
                <w:rFonts w:ascii="Times New Roman" w:cs="Times New Roman" w:eastAsia="Times New Roman" w:hAnsi="Times New Roman"/>
                <w:b/>
                <w:bCs/>
                <w:i/>
                <w:iCs/>
                <w:sz w:val="19"/>
                <w:szCs w:val="24"/>
              </w:rPr>
              <w:t xml:space="preserve">d</w:t>
            </w:r>
            <w:r>
              <w:rPr>
                <w:rFonts w:ascii="Times New Roman" w:cs="Times New Roman" w:eastAsia="Times New Roman" w:hAnsi="Times New Roman"/>
                <w:b/>
                <w:bCs/>
                <w:sz w:val="19"/>
                <w:szCs w:val="24"/>
                <w:vertAlign w:val="subscript"/>
              </w:rPr>
              <w:t xml:space="preserve">z</w:t>
            </w:r>
          </w:p>
        </w:tc>
        <w:tc>
          <w:tcPr>
            <w:tcW w:type="dxa" w:w="108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Abs. </w:t>
            </w:r>
            <w:r>
              <w:rPr>
                <w:rFonts w:ascii="Times New Roman" w:cs="Times New Roman" w:eastAsia="Times New Roman" w:hAnsi="Times New Roman"/>
                <w:b/>
                <w:bCs/>
                <w:i/>
                <w:iCs/>
                <w:sz w:val="19"/>
                <w:szCs w:val="24"/>
              </w:rPr>
              <w:t xml:space="preserve">q</w:t>
            </w:r>
          </w:p>
        </w:tc>
        <w:tc>
          <w:tcPr>
            <w:tcW w:type="dxa" w:w="25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Interpretation</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Delta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−0.112</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−1.13</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3.5×10⁻²⁰</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−0.149</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−0.54</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3.8×10⁻⁷</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Genuine decrease (0.71×)</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Theta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−0.019</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−0.49</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3.0×10⁻⁶</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+0.042</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+0.17</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0.079 n.s.</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Compositional artifact</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Alpha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+0.170</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+1.41</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3.8×10⁻²⁶</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+0.735</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+1.65</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3.5×10⁻³¹</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Genuine, large (5.4× power)</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Beta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−0.015</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−0.24</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0.015</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+0.231</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+1.21</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4.8×10⁻²²</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Genuine rise (1.7×), hidden by rel. power</w:t>
            </w:r>
          </w:p>
        </w:tc>
      </w:tr>
      <w:tr>
        <w:trPr>
          <w:cantSplit/>
          <w:tblHeader w:val="false"/>
        </w:trPr>
        <w:tc>
          <w:tcPr>
            <w:tcW w:type="dxa" w:w="936"/>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19"/>
                <w:szCs w:val="24"/>
              </w:rPr>
              <w:t xml:space="preserve">Gamma</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−0.025</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−0.68</w:t>
            </w:r>
          </w:p>
        </w:tc>
        <w:tc>
          <w:tcPr>
            <w:tcW w:type="dxa" w:w="108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4.7×10⁻¹⁰</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+0.025</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+0.22</w:t>
            </w:r>
          </w:p>
        </w:tc>
        <w:tc>
          <w:tcPr>
            <w:tcW w:type="dxa" w:w="108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0.034</w:t>
            </w:r>
          </w:p>
        </w:tc>
        <w:tc>
          <w:tcPr>
            <w:tcW w:type="dxa" w:w="25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Genuine, masked by rel. power</w:t>
            </w:r>
          </w:p>
        </w:tc>
      </w:tr>
    </w:tbl>
    <w:p>
      <w:pPr>
        <w:keepNext/>
        <w:spacing w:after="0" w:before="130"/>
        <w:jc w:val="center"/>
      </w:pPr>
      <w:r>
        <w:drawing>
          <wp:inline distT="0" distB="0" distL="0" distR="0">
            <wp:extent cx="45910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91050" cy="16954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Occipital power spectra, mean with 95% confidence interval across participants.</w:t>
      </w:r>
    </w:p>
    <w:p>
      <w:pPr>
        <w:keepNext/>
        <w:spacing w:after="0" w:before="130"/>
        <w:jc w:val="center"/>
      </w:pPr>
      <w:r>
        <w:drawing>
          <wp:inline distT="0" distB="0" distL="0" distR="0">
            <wp:extent cx="4762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4954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(a) Whole-scalp relative power by condition. (b) Occipital absolute-power effect sizes. (c) Every one of 106 participants, paired.</w:t>
      </w:r>
    </w:p>
    <w:p>
      <w:pPr>
        <w:keepNext/>
        <w:spacing w:after="0" w:before="130"/>
        <w:jc w:val="center"/>
      </w:pPr>
      <w:r>
        <w:drawing>
          <wp:inline distT="0" distB="0" distL="0" distR="0">
            <wp:extent cx="52768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76850" cy="12668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Scalp topography of the eyes-closed minus eyes-open difference, by band.</w:t>
      </w:r>
    </w:p>
    <w:p>
      <w:pPr>
        <w:keepNext/>
        <w:spacing w:after="70" w:before="140" w:line="240" w:lineRule="auto"/>
      </w:pPr>
      <w:r>
        <w:rPr>
          <w:rFonts w:ascii="Times New Roman" w:cs="Times New Roman" w:eastAsia="Times New Roman" w:hAnsi="Times New Roman"/>
          <w:b/>
          <w:bCs/>
          <w:i/>
          <w:iCs/>
          <w:sz w:val="24"/>
          <w:szCs w:val="24"/>
        </w:rPr>
        <w:t xml:space="preserve">Feature richness and model complexity:</w:t>
      </w:r>
    </w:p>
    <w:p>
      <w:pPr>
        <w:keepNext/>
        <w:spacing w:after="60" w:before="140" w:line="240" w:lineRule="auto"/>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Feature ladder, held-out participants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32). Logistic regression throughout except the dummy baseline. Cluster-bootstrap 95% confidence intervals.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800"/>
        <w:gridCol w:w="1700"/>
        <w:gridCol w:w="1700"/>
        <w:gridCol w:w="900"/>
        <w:gridCol w:w="950"/>
        <w:gridCol w:w="95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Feature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 feat.</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Sens.</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Spec.</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Dummy baseline</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0.514 [0.504, 0.525]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0.500</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0.679</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1.000</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0.000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Single occipital alpha (Oz)</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0.751 [0.693, 0.811]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 [0.776, 0.883]</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0.717</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0.614</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0.896</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Whole-scalp band powers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0.691 [0.632, 0.752]</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0.777 [0.714, 0.841]</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0.641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0.743</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Per-channel relative power</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320</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0.799 [0.745, 0.853]</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0.883 [0.834, 0.929]</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0.786</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0.718</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0.885</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All features</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674</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0.801</w:t>
            </w:r>
            <w:r>
              <w:rPr>
                <w:rFonts w:ascii="Times New Roman" w:cs="Times New Roman" w:eastAsia="Times New Roman" w:hAnsi="Times New Roman"/>
                <w:sz w:val="24"/>
                <w:szCs w:val="24"/>
              </w:rPr>
              <w:t xml:space="preserve"> [0.749, 0.853]</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[0.849, 0.937]</w:t>
            </w:r>
          </w:p>
        </w:tc>
        <w:tc>
          <w:tcPr>
            <w:tcW w:type="dxa" w:w="9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0.794</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0.746</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0.859</w:t>
            </w:r>
          </w:p>
        </w:tc>
      </w:tr>
    </w:tbl>
    <w:p>
      <w:pPr>
        <w:spacing w:after="130"/>
      </w:pPr>
    </w:p>
    <w:p>
      <w:pPr>
        <w:spacing w:after="120" w:line="240" w:lineRule="auto"/>
        <w:jc w:val="both"/>
      </w:pPr>
      <w:r>
        <w:t>The entire return on going from one feature to 674 is +0.064 AUC and +5.0 accuracy points (Table 3), and the confidence intervals overlap substantially: the single-feature interval [0.776, 0.883] overlaps the full-feature interval [0.849, 0.937]. H1 is supported.</w:t>
      </w:r>
    </w:p>
    <w:p>
      <w:pPr>
        <w:spacing w:after="120" w:line="240" w:lineRule="auto"/>
        <w:jc w:val="both"/>
      </w:pPr>
      <w:r>
        <w:t>A non-obvious result: five whole-scalp band powers (AUC 0.777) perform worse than one occipital channel (0.830). Averaging band power across the scalp dilutes the spatial localization that makes alpha diagnostic — a spatially specific effect is spread across 64 channels, most of which carry relatively little signal.</w:t>
      </w:r>
    </w:p>
    <w:p>
      <w:pPr>
        <w:keepNext/>
        <w:spacing w:after="0" w:before="130"/>
        <w:jc w:val="center"/>
      </w:pPr>
      <w:r>
        <w:drawing>
          <wp:inline distT="0" distB="0" distL="0" distR="0">
            <wp:extent cx="34861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86150" cy="21145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What feature richness buys. The gap between one feature and 674 is smaller than the inflation caused by leaky cross-validation.</w:t>
      </w:r>
    </w:p>
    <w:p>
      <w:pPr>
        <w:keepNext/>
        <w:spacing w:after="60" w:before="140" w:line="240" w:lineRule="auto"/>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Model comparison, all 674 features,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2100"/>
        <w:gridCol w:w="2100"/>
        <w:gridCol w:w="940"/>
        <w:gridCol w:w="940"/>
        <w:gridCol w:w="92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Model</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Prec.</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Recall</w:t>
            </w:r>
          </w:p>
        </w:tc>
        <w:tc>
          <w:tcPr>
            <w:tcW w:type="dxa" w:w="9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Hist. gradient boosting</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[0.742, 0.842]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0.897</w:t>
            </w:r>
            <w:r>
              <w:rPr>
                <w:rFonts w:ascii="Times New Roman" w:cs="Times New Roman" w:eastAsia="Times New Roman" w:hAnsi="Times New Roman"/>
                <w:sz w:val="24"/>
                <w:szCs w:val="24"/>
              </w:rPr>
              <w:t xml:space="preserve"> [0.861, 0.935]</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0.854</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0.779</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Logistic regression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0.793 [0.738, 0.847]</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0.893 [0.852, 0.933]</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0.862</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0.711</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Linear SVM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0.798</w:t>
            </w:r>
            <w:r>
              <w:rPr>
                <w:rFonts w:ascii="Times New Roman" w:cs="Times New Roman" w:eastAsia="Times New Roman" w:hAnsi="Times New Roman"/>
                <w:sz w:val="24"/>
                <w:szCs w:val="24"/>
              </w:rPr>
              <w:t xml:space="preserve"> [0.745, 0.851]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0.891 [0.846, 0.936]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Random forest</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0.775 [0.722, 0.832]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0.876 [0.836, 0.919]</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0.666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0.753</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Dummy</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 [0.504, 0.525]</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0.500</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1.000</w:t>
            </w:r>
          </w:p>
        </w:tc>
        <w:tc>
          <w:tcPr>
            <w:tcW w:type="dxa" w:w="9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0.679</w:t>
            </w:r>
          </w:p>
        </w:tc>
      </w:tr>
    </w:tbl>
    <w:p>
      <w:pPr>
        <w:spacing w:after="130"/>
      </w:pPr>
    </w:p>
    <w:p>
      <w:pPr>
        <w:spacing w:after="120" w:line="240" w:lineRule="auto"/>
        <w:jc w:val="both"/>
      </w:pPr>
      <w:r>
        <w:t>Model family added little measurable value (Table 4). The spread across four very different learners is 0.021 AUC, and the top three — gradient boosting 0.897, logistic regression 0.893, linear SVM 0.891 — fall within 0.006 of one another, with substantial overlap among their confidence intervals. Gradient boosting is nominally best, but 0.004 AUC over a penalized linear model is not evidence that nonlinearity is doing work; the most defensible reading is that model capacity is not the binding constraint here. Both linear models selected the strongest available regularization (C = 0.001), which points the same way. The confusion matrix for logistic regression shows 768 / 105 / 267 / 658 (TN/FP/FN/TP), that is, specificity 0.880 exceeds sensitivity 0.711 — the model identifies eyes-open epochs more reliably than eyes-closed epochs.</w:t>
      </w:r>
    </w:p>
    <w:p>
      <w:pPr>
        <w:keepNext/>
        <w:spacing w:after="70" w:before="140" w:line="240" w:lineRule="auto"/>
      </w:pPr>
      <w:r>
        <w:rPr>
          <w:rFonts w:ascii="Times New Roman" w:cs="Times New Roman" w:eastAsia="Times New Roman" w:hAnsi="Times New Roman"/>
          <w:b/>
          <w:bCs/>
          <w:i/>
          <w:iCs/>
          <w:sz w:val="24"/>
          <w:szCs w:val="24"/>
        </w:rPr>
        <w:t xml:space="preserve">Quantifying leakage from epoch-level splitting:</w:t>
      </w:r>
    </w:p>
    <w:p>
      <w:pPr>
        <w:spacing w:after="120" w:line="240" w:lineRule="auto"/>
        <w:jc w:val="both"/>
      </w:pPr>
      <w:r>
        <w:rPr>
          <w:rFonts w:ascii="Times New Roman" w:cs="Times New Roman" w:eastAsia="Times New Roman" w:hAnsi="Times New Roman"/>
          <w:sz w:val="24"/>
          <w:szCs w:val="24"/>
        </w:rPr>
        <w:t xml:space="preserve">To quantify what participant-level splitting protects against, I repeated the headline analysis with an ordinary random split over epochs, so that the same participant could appear in both training and test data. Everything else was identical. Accuracy rose from 0.793 to 0.852 and AUC from 0.893 to 0.940.</w:t>
      </w:r>
    </w:p>
    <w:p>
      <w:pPr>
        <w:spacing w:after="120" w:line="240" w:lineRule="auto"/>
        <w:jc w:val="both"/>
      </w:pPr>
      <w:r>
        <w:t>The inflation produced by this single methodological error (+0.048 AUC, +0.059 accuracy) is of the same order as the entire benefit of adding 673 features (+0.064 AUC) and larger than the full spread across every model family tested (0.021 AUC). A study that splits epochs at random and reports a large gain from an elaborate pipeline may be reporting mostly leakage. This is the strongest practical argument for the design used here.</w:t>
      </w:r>
    </w:p>
    <w:p>
      <w:pPr>
        <w:keepNext/>
        <w:spacing w:after="70" w:before="140" w:line="240" w:lineRule="auto"/>
      </w:pPr>
      <w:r>
        <w:rPr>
          <w:rFonts w:ascii="Times New Roman" w:cs="Times New Roman" w:eastAsia="Times New Roman" w:hAnsi="Times New Roman"/>
          <w:b/>
          <w:bCs/>
          <w:i/>
          <w:iCs/>
          <w:sz w:val="24"/>
          <w:szCs w:val="24"/>
        </w:rPr>
        <w:t xml:space="preserve">Electrode count and placement:</w:t>
      </w:r>
    </w:p>
    <w:p>
      <w:pPr>
        <w:keepNext/>
        <w:spacing w:after="60" w:before="140" w:line="240" w:lineRule="auto"/>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Electrode ablation, 2-second windows,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900"/>
        <w:gridCol w:w="800"/>
        <w:gridCol w:w="1500"/>
        <w:gridCol w:w="1500"/>
        <w:gridCol w:w="2660"/>
      </w:tblGrid>
      <w:tr>
        <w:trPr>
          <w:cantSplit/>
          <w:tblHeader/>
        </w:trPr>
        <w:tc>
          <w:tcPr>
            <w:tcW w:type="dxa" w:w="29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6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Random same-size (mean of 10)</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channels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64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10-20 subset</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0.868 (0.846–0.888)</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Occipital region</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 (0.820–0.864)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O1/Oz/O2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0.806 (0.728–0.862)</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Oz only</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0.817</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0.763 (0.685–0.824)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Frontal headband (Fp1/Fpz/Fp2)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0.776</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(0.766–0.843)</w:t>
            </w:r>
          </w:p>
        </w:tc>
      </w:tr>
      <w:tr>
        <w:trPr>
          <w:cantSplit/>
          <w:tblHeader w:val="false"/>
        </w:trPr>
        <w:tc>
          <w:tcPr>
            <w:tcW w:type="dxa" w:w="29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Frontal headband (Fpz)</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0.663</w:t>
            </w:r>
          </w:p>
        </w:tc>
        <w:tc>
          <w:tcPr>
            <w:tcW w:type="dxa" w:w="26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0.755 (0.697–0.824)</w:t>
            </w:r>
          </w:p>
        </w:tc>
      </w:tr>
    </w:tbl>
    <w:p>
      <w:pPr>
        <w:spacing w:after="130"/>
      </w:pPr>
    </w:p>
    <w:p>
      <w:pPr>
        <w:spacing w:after="120" w:line="240" w:lineRule="auto"/>
        <w:jc w:val="both"/>
      </w:pPr>
      <w:r>
        <w:rPr>
          <w:rFonts w:ascii="Times New Roman" w:cs="Times New Roman" w:eastAsia="Times New Roman" w:hAnsi="Times New Roman"/>
          <w:sz w:val="24"/>
          <w:szCs w:val="24"/>
        </w:rPr>
        <w:t xml:space="preserve">Dropping 45 of 64 electrodes cost 0.005 AUC (Table 5). Dropping to a single occipital electrode cost 0.077 — it retained 80% of the above-chance AUC of the full montage.</w:t>
      </w:r>
    </w:p>
    <w:p>
      <w:pPr>
        <w:spacing w:after="120" w:line="240" w:lineRule="auto"/>
        <w:jc w:val="both"/>
      </w:pPr>
      <w:r>
        <w:t>The comparison against random subsets is the informative part. At one electrode, informed occipital placement beat random placement by +0.054 AUC (0.817 vs 0.763); at three, by +0.024. At nine the advantage vanished entirely and was nominally negative (0.844 vs 0.847). Placement matters when electrodes are scarce and appears to matter little once about nine electrodes are distributed across the scalp. H2 is supported, with one caveat: the random baseline comes from only ten draws and is itself noisy — at one electrode those draws ranged from 0.685 to 0.824, so a lucky arbitrary placement can match an informed one.</w:t>
      </w:r>
    </w:p>
    <w:p>
      <w:pPr>
        <w:spacing w:after="120" w:line="240" w:lineRule="auto"/>
        <w:jc w:val="both"/>
      </w:pPr>
      <w:r>
        <w:t>A frontal headband electrode (Fpz, AUC 0.739) performed slightly worse than a randomly chosen electrode (0.755) and 0.078 below Oz — a placement used by some consumer hardware is therefore among the weaker choices for this particular contrast.</w:t>
      </w:r>
    </w:p>
    <w:p>
      <w:pPr>
        <w:keepNext/>
        <w:spacing w:after="70" w:before="140" w:line="240" w:lineRule="auto"/>
      </w:pPr>
      <w:r>
        <w:rPr>
          <w:rFonts w:ascii="Times New Roman" w:cs="Times New Roman" w:eastAsia="Times New Roman" w:hAnsi="Times New Roman"/>
          <w:b/>
          <w:bCs/>
          <w:i/>
          <w:iCs/>
          <w:sz w:val="24"/>
          <w:szCs w:val="24"/>
        </w:rPr>
        <w:t xml:space="preserve">Recording time as a substitute for electrodes:</w:t>
      </w:r>
    </w:p>
    <w:p>
      <w:pPr>
        <w:keepNext/>
        <w:spacing w:after="60" w:before="140" w:line="240" w:lineRule="auto"/>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Window length, all 64 channels.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1500"/>
        <w:gridCol w:w="1700"/>
        <w:gridCol w:w="1600"/>
        <w:gridCol w:w="2500"/>
        <w:gridCol w:w="2060"/>
      </w:tblGrid>
      <w:tr>
        <w:trPr>
          <w:cantSplit/>
          <w:tblHeader/>
        </w:trPr>
        <w:tc>
          <w:tcPr>
            <w:tcW w:type="dxa" w:w="15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Window</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Participants</w:t>
            </w:r>
          </w:p>
        </w:tc>
        <w:tc>
          <w:tcPr>
            <w:tcW w:type="dxa" w:w="16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Test epochs</w:t>
            </w:r>
          </w:p>
        </w:tc>
        <w:tc>
          <w:tcPr>
            <w:tcW w:type="dxa" w:w="2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0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0.5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7,865</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0.772</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0.864 [0.822, 0.903]</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3,816</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0.789</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 [0.839, 0.920]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2.0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106</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1,798</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 [0.851, 0.940]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4.0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774</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0.860</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0.938</w:t>
            </w:r>
            <w:r>
              <w:rPr>
                <w:rFonts w:ascii="Times New Roman" w:cs="Times New Roman" w:eastAsia="Times New Roman" w:hAnsi="Times New Roman"/>
                <w:sz w:val="24"/>
                <w:szCs w:val="24"/>
              </w:rPr>
              <w:t xml:space="preserve"> [0.899, 0.971]</w:t>
            </w:r>
          </w:p>
        </w:tc>
      </w:tr>
      <w:tr>
        <w:trPr>
          <w:cantSplit/>
          <w:tblHeader w:val="false"/>
        </w:trPr>
        <w:tc>
          <w:tcPr>
            <w:tcW w:type="dxa" w:w="15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8.0 s</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84</w:t>
            </w:r>
          </w:p>
        </w:tc>
        <w:tc>
          <w:tcPr>
            <w:tcW w:type="dxa" w:w="16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303</w:t>
            </w:r>
          </w:p>
        </w:tc>
        <w:tc>
          <w:tcPr>
            <w:tcW w:type="dxa" w:w="2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0.822</w:t>
            </w:r>
          </w:p>
        </w:tc>
        <w:tc>
          <w:tcPr>
            <w:tcW w:type="dxa" w:w="20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0.917 [0.868, 0.963]</w:t>
            </w:r>
          </w:p>
        </w:tc>
      </w:tr>
    </w:tbl>
    <w:p>
      <w:pPr>
        <w:spacing w:after="130"/>
      </w:pPr>
    </w:p>
    <w:p>
      <w:pPr>
        <w:spacing w:after="120" w:line="240" w:lineRule="auto"/>
        <w:jc w:val="both"/>
      </w:pPr>
      <w:r>
        <w:t>AUC rose steadily with window length through 4 seconds, from 0.864 at 0.5 s to 0.938 at 4 s (Table 6). The 8-second condition scored lower (0.917), but this is almost certainly attrition rather than a genuine decline: a 61-second run yields only seven 8-second epochs, and artifact rejection eliminated an entire condition for 22 additional participants, leaving 84. The 8-second estimate therefore rests on a smaller and different sample from the rest of the curve and should not be read as saturation. Crossing the two axes gives a trade-off surface (Table 7, Figure 6c).</w:t>
      </w:r>
    </w:p>
    <w:p>
      <w:pPr>
        <w:keepNext/>
        <w:spacing w:after="60" w:before="140" w:line="240" w:lineRule="auto"/>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ROC-AUC across the electrode × window trade-off surface.</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760"/>
        <w:gridCol w:w="1320"/>
        <w:gridCol w:w="1320"/>
        <w:gridCol w:w="1320"/>
        <w:gridCol w:w="1320"/>
        <w:gridCol w:w="1320"/>
      </w:tblGrid>
      <w:tr>
        <w:trPr>
          <w:cantSplit/>
          <w:tblHeader/>
        </w:trPr>
        <w:tc>
          <w:tcPr>
            <w:tcW w:type="dxa" w:w="27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0.5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2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4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8 s</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64 (all)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0.938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0.917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19 (10-20)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0.928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0.902</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9 (occipital)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 (O1/Oz/O2)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0.888</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 (Oz)</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0.771</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0.817</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0.886</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0.878</w:t>
            </w:r>
          </w:p>
        </w:tc>
      </w:tr>
      <w:tr>
        <w:trPr>
          <w:cantSplit/>
          <w:tblHeader w:val="false"/>
        </w:trPr>
        <w:tc>
          <w:tcPr>
            <w:tcW w:type="dxa" w:w="27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1 (Fpz, headband)</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0.732</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0.774</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0.850</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0.875</w:t>
            </w:r>
          </w:p>
        </w:tc>
      </w:tr>
    </w:tbl>
    <w:p>
      <w:pPr>
        <w:spacing w:after="130"/>
      </w:pPr>
    </w:p>
    <w:p>
      <w:pPr>
        <w:spacing w:after="120" w:line="240" w:lineRule="auto"/>
        <w:jc w:val="both"/>
      </w:pPr>
      <w:r>
        <w:t>One occipital electrode with an 8-second window (0.878) exceeds 64 electrodes with a 0.5-second window (0.864), and one electrode at 4 seconds (0.886) exceeds nineteen electrodes at 1 second (0.843). Recording time can substitute for electrode count and, in the tested settings, can outweigh it at longer windows. H3 is supported.</w:t>
      </w:r>
    </w:p>
    <w:p>
      <w:pPr>
        <w:keepNext/>
        <w:spacing w:after="0" w:before="130"/>
        <w:jc w:val="center"/>
      </w:pPr>
      <w:r>
        <w:drawing>
          <wp:inline distT="0" distB="0" distL="0" distR="0">
            <wp:extent cx="51816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81600" cy="151447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Primary result. (a) Electrode ablation against random same-size subsets. (b) Window-length curves per electrode budget. (c) The trade-off surface.</w:t>
      </w:r>
    </w:p>
    <w:p>
      <w:pPr>
        <w:keepNext/>
        <w:spacing w:after="70" w:before="140" w:line="240" w:lineRule="auto"/>
      </w:pPr>
      <w:r>
        <w:rPr>
          <w:rFonts w:ascii="Times New Roman" w:cs="Times New Roman" w:eastAsia="Times New Roman" w:hAnsi="Times New Roman"/>
          <w:b/>
          <w:bCs/>
          <w:i/>
          <w:iCs/>
          <w:sz w:val="24"/>
          <w:szCs w:val="24"/>
        </w:rPr>
        <w:t xml:space="preserve">Robustness to preprocessing choices:</w:t>
      </w:r>
    </w:p>
    <w:p>
      <w:pPr>
        <w:keepNext/>
        <w:spacing w:after="60" w:before="140" w:line="240" w:lineRule="auto"/>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Robustness across 15 preprocessing configurations. Main-analysis settings in bold.</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100"/>
        <w:gridCol w:w="3660"/>
        <w:gridCol w:w="3600"/>
      </w:tblGrid>
      <w:tr>
        <w:trPr>
          <w:cantSplit/>
          <w:tblHeader/>
        </w:trPr>
        <w:tc>
          <w:tcPr>
            <w:tcW w:type="dxa" w:w="21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Analysis</w:t>
            </w:r>
          </w:p>
        </w:tc>
        <w:tc>
          <w:tcPr>
            <w:tcW w:type="dxa" w:w="36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Setting</w:t>
            </w:r>
          </w:p>
        </w:tc>
        <w:tc>
          <w:tcPr>
            <w:tcW w:type="dxa" w:w="36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ROC-AUC</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Artifact rejection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none / 200 µV / </w:t>
            </w:r>
            <w:r>
              <w:rPr>
                <w:rFonts w:ascii="Times New Roman" w:cs="Times New Roman" w:eastAsia="Times New Roman" w:hAnsi="Times New Roman"/>
                <w:b/>
                <w:bCs/>
                <w:sz w:val="24"/>
                <w:szCs w:val="24"/>
              </w:rPr>
              <w:t xml:space="preserve">250 µV (main)</w:t>
            </w:r>
            <w:r>
              <w:rPr>
                <w:rFonts w:ascii="Times New Roman" w:cs="Times New Roman" w:eastAsia="Times New Roman" w:hAnsi="Times New Roman"/>
                <w:sz w:val="24"/>
                <w:szCs w:val="24"/>
              </w:rPr>
              <w:t xml:space="preserve"> / 350 µV</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0.889 / </w:t>
            </w: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0.911</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Feature family</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 relative / absolute / alpha only / </w:t>
            </w:r>
            <w:r>
              <w:rPr>
                <w:rFonts w:ascii="Times New Roman" w:cs="Times New Roman" w:eastAsia="Times New Roman" w:hAnsi="Times New Roman"/>
                <w:b/>
                <w:bCs/>
                <w:sz w:val="24"/>
                <w:szCs w:val="24"/>
              </w:rPr>
              <w:t xml:space="preserve">excl. alpha</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0.883 / 0.900 / 0.873 / </w:t>
            </w:r>
            <w:r>
              <w:rPr>
                <w:rFonts w:ascii="Times New Roman" w:cs="Times New Roman" w:eastAsia="Times New Roman" w:hAnsi="Times New Roman"/>
                <w:b/>
                <w:bCs/>
                <w:sz w:val="24"/>
                <w:szCs w:val="24"/>
              </w:rPr>
              <w:t xml:space="preserve">0.892</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Referencing</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average (main)</w:t>
            </w:r>
            <w:r>
              <w:rPr>
                <w:rFonts w:ascii="Times New Roman" w:cs="Times New Roman" w:eastAsia="Times New Roman" w:hAnsi="Times New Roman"/>
                <w:sz w:val="24"/>
                <w:szCs w:val="24"/>
              </w:rPr>
              <w:t xml:space="preserve"> / none</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0.869</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Band definition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standard / alt (alpha 7–13 Hz)</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0.893</w:t>
            </w:r>
          </w:p>
        </w:tc>
      </w:tr>
      <w:tr>
        <w:trPr>
          <w:cantSplit/>
          <w:tblHeader w:val="false"/>
        </w:trPr>
        <w:tc>
          <w:tcPr>
            <w:tcW w:type="dxa" w:w="21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ICA</w:t>
            </w:r>
          </w:p>
        </w:tc>
        <w:tc>
          <w:tcPr>
            <w:tcW w:type="dxa" w:w="36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not applied (main)</w:t>
            </w:r>
            <w:r>
              <w:rPr>
                <w:rFonts w:ascii="Times New Roman" w:cs="Times New Roman" w:eastAsia="Times New Roman" w:hAnsi="Times New Roman"/>
                <w:sz w:val="24"/>
                <w:szCs w:val="24"/>
              </w:rPr>
              <w:t xml:space="preserve"> / applied (Fp1 proxy)</w:t>
            </w:r>
          </w:p>
        </w:tc>
        <w:tc>
          <w:tcPr>
            <w:tcW w:type="dxa" w:w="36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0.867</w:t>
            </w:r>
          </w:p>
        </w:tc>
      </w:tr>
    </w:tbl>
    <w:p>
      <w:pPr>
        <w:spacing w:after="130"/>
      </w:pPr>
    </w:p>
    <w:p>
      <w:pPr>
        <w:spacing w:after="120" w:line="240" w:lineRule="auto"/>
        <w:jc w:val="both"/>
      </w:pPr>
      <w:r>
        <w:t>Across 15 configurations AUC spanned 0.867–0.911 (Table 8, Figure 9). Three points deserve emphasis. First, artifact rejection has little effect on the headline result: performance with no rejection at all is identical to the main setting (0.894), so the differential rejection between conditions does not appear to drive the result. Second, the two choices that do matter cost about the same and both concern what is removed from the signal — dropping the average reference costs 0.025 AUC, applying ICA costs 0.027. Third, the ICA result suggests that, under this heuristic implementation, component removal may reduce useful signal along with artifact, supporting the decision to omit ICA from the main pipeline.</w:t>
      </w:r>
    </w:p>
    <w:p>
      <w:pPr>
        <w:spacing w:after="120" w:line="240" w:lineRule="auto"/>
        <w:jc w:val="both"/>
      </w:pPr>
      <w:r>
        <w:rPr>
          <w:rFonts w:ascii="Times New Roman" w:cs="Times New Roman" w:eastAsia="Times New Roman" w:hAnsi="Times New Roman"/>
          <w:sz w:val="24"/>
          <w:szCs w:val="24"/>
        </w:rPr>
        <w:t xml:space="preserve">Most striking is the feature-family row. Removing every alpha feature costs only 0.002 AUC (0.894 → 0.892), while alpha features alone reach 0.873. The information is heavily redundant across bands, because eye closure changes the whole spectrum, not alpha in isolation.</w:t>
      </w:r>
    </w:p>
    <w:p>
      <w:pPr>
        <w:keepNext/>
        <w:spacing w:after="0" w:before="130"/>
        <w:jc w:val="center"/>
      </w:pPr>
      <w:r>
        <w:drawing>
          <wp:inline distT="0" distB="0" distL="0" distR="0">
            <wp:extent cx="4000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3837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Robustness across 15 preprocessing configurations. Only re-referencing and ICA materially change the result.</w:t>
      </w:r>
    </w:p>
    <w:p>
      <w:pPr>
        <w:keepNext/>
        <w:spacing w:after="70" w:before="140" w:line="240" w:lineRule="auto"/>
      </w:pPr>
      <w:r>
        <w:rPr>
          <w:rFonts w:ascii="Times New Roman" w:cs="Times New Roman" w:eastAsia="Times New Roman" w:hAnsi="Times New Roman"/>
          <w:b/>
          <w:bCs/>
          <w:i/>
          <w:iCs/>
          <w:sz w:val="24"/>
          <w:szCs w:val="24"/>
        </w:rPr>
        <w:t xml:space="preserve">Feature importance and its limitations:</w:t>
      </w:r>
    </w:p>
    <w:p>
      <w:pPr>
        <w:spacing w:after="120" w:line="240" w:lineRule="auto"/>
        <w:jc w:val="both"/>
      </w:pPr>
      <w:r>
        <w:rPr>
          <w:rFonts w:ascii="Times New Roman" w:cs="Times New Roman" w:eastAsia="Times New Roman" w:hAnsi="Times New Roman"/>
          <w:sz w:val="24"/>
          <w:szCs w:val="24"/>
        </w:rPr>
        <w:t xml:space="preserve">Summed permutation importance on the held-out set ranked bands: beta (+0.0368) &gt; gamma (+0.0289) &gt; alpha (+0.0174) &gt; delta (+0.0080) &gt; theta (+0.0070). Top individual features were logabs_Iz_beta, logabs_Iz_alpha, rel_AF8_gamma, and logabs_Fpz_gamma; summed by electrode, Iz (inion) ranked first by a factor of two over the next site. Iz is the most posterior electrode in the montage.</w:t>
      </w:r>
    </w:p>
    <w:p>
      <w:pPr>
        <w:spacing w:after="120" w:line="240" w:lineRule="auto"/>
        <w:jc w:val="both"/>
      </w:pPr>
      <w:r>
        <w:t>This ranking differs from the univariate statistics, and the difference is instructive rather than contradictory. In the paired tests alpha is by far the largest effect (dz = +1.65) while beta is smaller (+1.21). Permutation importance can be misleading with correlated features: alpha information is duplicated across dozens of posterior electrodes, so permuting any single alpha feature barely degrades the model, which finds the same information elsewhere. Beta is somewhat less redundant and so appears more important. The ablation above resolves the question properly — removing all alpha features costs almost nothing precisely because the information is redundant, not because alpha is unimportant. Permutation importance on correlated feature sets is strongly influenced by redundancy and should not be interpreted as a direct measure of which rhythm carries the physiological signal.</w:t>
      </w:r>
    </w:p>
    <w:p>
      <w:pPr>
        <w:keepNext/>
        <w:spacing w:after="0" w:before="130"/>
        <w:jc w:val="center"/>
      </w:pPr>
      <w:r>
        <w:drawing>
          <wp:inline distT="0" distB="0" distL="0" distR="0">
            <wp:extent cx="51054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05400" cy="1600200"/>
                    </a:xfrm>
                    <a:prstGeom prst="rect">
                      <a:avLst/>
                    </a:prstGeom>
                  </pic:spPr>
                </pic:pic>
              </a:graphicData>
            </a:graphic>
          </wp:inline>
        </w:drawing>
      </w:r>
    </w:p>
    <w:p>
      <w:pPr>
        <w:spacing w:after="150" w:before="60" w:line="240" w:lineRule="auto"/>
      </w:pPr>
      <w:r>
        <w:t>Figure 8. Permutation importance by feature, band, and electrode. With correlated features, permutation importance is strongly influenced by redundancy and should be interpreted cautiously.</w:t>
      </w:r>
    </w:p>
    <w:p>
      <w:pPr>
        <w:keepNext/>
        <w:spacing w:after="70" w:before="140" w:line="240" w:lineRule="auto"/>
      </w:pPr>
      <w:r>
        <w:rPr>
          <w:rFonts w:ascii="Times New Roman" w:cs="Times New Roman" w:eastAsia="Times New Roman" w:hAnsi="Times New Roman"/>
          <w:b/>
          <w:bCs/>
          <w:i/>
          <w:iCs/>
          <w:sz w:val="24"/>
          <w:szCs w:val="24"/>
        </w:rPr>
        <w:t xml:space="preserve">Between-participant variability:</w:t>
      </w:r>
    </w:p>
    <w:p>
      <w:pPr>
        <w:spacing w:after="120" w:line="240" w:lineRule="auto"/>
        <w:jc w:val="both"/>
      </w:pPr>
      <w:r>
        <w:t>Under leave-one-subject-out validation across all 106 participants, mean accuracy was 0.777 ± 0.160 and pooled AUC 0.877. The median participant reached 0.827 and three were classified perfectly, but 18 of 106 fell below 0.60 and the worst reached 0.240 — substantially below chance, indicating poor generalization for that participant. The aggregate figure conceals a long tail. Because occipital alpha increased in all 106 participants, the failures are unlikely to reflect a reversal of the group-level effect; they may instead reflect weaker modulation or other participant-specific differences. Reporting only mean accuracy would hide this entirely, and reporting only the mean would conceal that roughly one participant in six falls below 0.60.</w:t>
      </w:r>
    </w:p>
    <w:p>
      <w:pPr>
        <w:keepNext/>
        <w:spacing w:after="0" w:before="130"/>
        <w:jc w:val="center"/>
      </w:pPr>
      <w:r>
        <w:drawing>
          <wp:inline distT="0" distB="0" distL="0" distR="0">
            <wp:extent cx="45910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91050" cy="16954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(a) Per-participant accuracy under leave-one-subject-out validation. (b) The distribution; 18 of 106 fall below 0.60.</w:t>
      </w:r>
    </w:p>
    <w:p>
      <w:pPr>
        <w:keepNext/>
        <w:spacing w:after="100" w:before="200" w:line="240" w:lineRule="auto"/>
      </w:pPr>
      <w:r>
        <w:rPr>
          <w:rFonts w:ascii="Times New Roman" w:cs="Times New Roman" w:eastAsia="Times New Roman" w:hAnsi="Times New Roman"/>
          <w:b/>
          <w:bCs/>
          <w:sz w:val="28"/>
          <w:szCs w:val="28"/>
        </w:rPr>
        <w:t xml:space="preserve">Discussion</w:t>
      </w:r>
    </w:p>
    <w:p>
      <w:pPr>
        <w:keepNext/>
        <w:spacing w:after="70" w:before="140" w:line="240" w:lineRule="auto"/>
      </w:pPr>
      <w:r>
        <w:rPr>
          <w:rFonts w:ascii="Times New Roman" w:cs="Times New Roman" w:eastAsia="Times New Roman" w:hAnsi="Times New Roman"/>
          <w:b/>
          <w:bCs/>
          <w:i/>
          <w:iCs/>
          <w:sz w:val="24"/>
          <w:szCs w:val="24"/>
        </w:rPr>
        <w:t xml:space="preserve">Restatement of key findings:</w:t>
      </w:r>
    </w:p>
    <w:p>
      <w:pPr>
        <w:spacing w:after="120" w:line="240" w:lineRule="auto"/>
        <w:jc w:val="both"/>
      </w:pPr>
      <w:r>
        <w:t>The physiological effect is enormous and universal in this sample: occipital alpha power rises 5.4-fold on eye closure, in every one of 106 participants. The classification problem it defines is correspondingly easy, which is exactly why classification accuracy is a poor headline. Performance shows strong diminishing returns with added electrodes and features. One electrode and one feature deliver AUC 0.817–0.830; sixty-four electrodes and 674 features deliver 0.894. The marginal return on nearly all of the apparatus is about six points.</w:t>
      </w:r>
    </w:p>
    <w:p>
      <w:pPr>
        <w:spacing w:after="120" w:line="240" w:lineRule="auto"/>
        <w:jc w:val="both"/>
      </w:pPr>
      <w:r>
        <w:t>The useful levers are elsewhere. Electrode placement is worth +0.054 AUC at a one-electrode budget and nothing at nine. Recording time improves performance through at least four seconds and, in the tested comparisons, can outperform electrode count: one occipital electrode at 8 s beats the full 64-channel montage at 0.5 s. Model family adds little measurable value — four very different learners span 0.021 AUC, which is less than the inflation produced by a single cross-validation error.</w:t>
      </w:r>
    </w:p>
    <w:p>
      <w:pPr>
        <w:keepNext/>
        <w:spacing w:after="70" w:before="140" w:line="240" w:lineRule="auto"/>
      </w:pPr>
      <w:r>
        <w:rPr>
          <w:rFonts w:ascii="Times New Roman" w:cs="Times New Roman" w:eastAsia="Times New Roman" w:hAnsi="Times New Roman"/>
          <w:b/>
          <w:bCs/>
          <w:i/>
          <w:iCs/>
          <w:sz w:val="24"/>
          <w:szCs w:val="24"/>
        </w:rPr>
        <w:t xml:space="preserve">Neuroscientific interpretation and significance:</w:t>
      </w:r>
    </w:p>
    <w:p>
      <w:pPr>
        <w:spacing w:after="120" w:line="240" w:lineRule="auto"/>
        <w:jc w:val="both"/>
      </w:pPr>
      <w:r>
        <w:rPr>
          <w:rFonts w:ascii="Times New Roman" w:cs="Times New Roman" w:eastAsia="Times New Roman" w:hAnsi="Times New Roman"/>
          <w:b/>
          <w:bCs/>
          <w:sz w:val="24"/>
          <w:szCs w:val="24"/>
        </w:rPr>
        <w:t xml:space="preserve">What the data demonstrate.</w:t>
      </w:r>
      <w:r>
        <w:rPr>
          <w:rFonts w:ascii="Times New Roman" w:cs="Times New Roman" w:eastAsia="Times New Roman" w:hAnsi="Times New Roman"/>
          <w:sz w:val="24"/>
          <w:szCs w:val="24"/>
        </w:rPr>
        <w:t xml:space="preserve"> Occipital alpha rises 5.4× on eye closure and occipital beta 1.7×, while delta falls to 0.71×; effects are largest at posterior electrodes, and the classification information is heavily redundant across bands and electrodes.</w:t>
      </w:r>
    </w:p>
    <w:p>
      <w:pPr>
        <w:spacing w:after="120" w:line="240" w:lineRule="auto"/>
        <w:jc w:val="both"/>
      </w:pPr>
      <w:r>
        <w:t>A plausible biological explanation. The posterior topography is consistent with generation in occipital and parieto-occipital cortex under thalamocortical control,7 where rhythmic bursting in thalamic relay and reticular nuclei entrains cortical populations. On the gating-by-inhibition account,4,5 eye closure removes patterned visual input, and high-amplitude alpha reflects active pulsed suppression of visual cortex rather than passive idling. Eye opening restores input, and the resulting desynchronization6 both reduces alpha amplitude and broadens the spectrum. That posterior electrodes show the strongest differences follows from proximity to these generators and from the fact that scalp EEG reflects the summed activity of spatially distributed cortical sources. The beta increase is more ambiguous. It may partly reflect harmonics of a large ~10 Hz oscillation appearing near 20 Hz, and partly genuine beta-band change; these data cannot separate the two, and I make no such claim.</w:t>
      </w:r>
    </w:p>
    <w:p>
      <w:pPr>
        <w:spacing w:after="120" w:line="240" w:lineRule="auto"/>
        <w:jc w:val="both"/>
      </w:pPr>
      <w:r>
        <w:rPr>
          <w:rFonts w:ascii="Times New Roman" w:cs="Times New Roman" w:eastAsia="Times New Roman" w:hAnsi="Times New Roman"/>
          <w:b/>
          <w:bCs/>
          <w:sz w:val="24"/>
          <w:szCs w:val="24"/>
        </w:rPr>
        <w:t xml:space="preserve">What I explicitly do not claim.</w:t>
      </w:r>
      <w:r>
        <w:rPr>
          <w:rFonts w:ascii="Times New Roman" w:cs="Times New Roman" w:eastAsia="Times New Roman" w:hAnsi="Times New Roman"/>
          <w:sz w:val="24"/>
          <w:szCs w:val="24"/>
        </w:rPr>
        <w:t xml:space="preserve"> Nothing here establishes causation. That a feature is useful to a classifier does not mean it generates the difference, and feature-importance rankings on correlated EEG features can invert the true effect sizes. Nor is the eyes-open/eyes-closed contrast purely visual: the conditions differ in arousal as well as sensory input</w:t>
      </w:r>
      <w:r>
        <w:t xml:space="preserve"> ((R. J. Barry, A. R. Clarke, S. J. Johnstone, C. A. Magee, J. A. Rushby. EEG differences between eyes-closed and eyes-open resting conditions. Clinical Neurophysiology. Vol. 118, pg. 2765-2773, 2007, https://doi.org/10.1016/j.clinph.2007.07.028.))</w:t>
      </w:r>
      <w:r>
        <w:t>,</w:t>
      </w:r>
      <w:r>
        <w:rPr>
          <w:rFonts w:ascii="Times New Roman" w:cs="Times New Roman" w:eastAsia="Times New Roman" w:hAnsi="Times New Roman"/>
          <w:sz w:val="24"/>
          <w:szCs w:val="24"/>
        </w:rPr>
        <w:t xml:space="preserve"> and this design cannot disentangle them.</w:t>
      </w:r>
    </w:p>
    <w:p>
      <w:pPr>
        <w:keepNext/>
        <w:spacing w:after="70" w:before="140" w:line="240" w:lineRule="auto"/>
      </w:pPr>
      <w:r>
        <w:rPr>
          <w:rFonts w:ascii="Times New Roman" w:cs="Times New Roman" w:eastAsia="Times New Roman" w:hAnsi="Times New Roman"/>
          <w:b/>
          <w:bCs/>
          <w:i/>
          <w:iCs/>
          <w:sz w:val="24"/>
          <w:szCs w:val="24"/>
        </w:rPr>
        <w:t xml:space="preserve">Comparison with previous work:</w:t>
      </w:r>
    </w:p>
    <w:p>
      <w:pPr>
        <w:spacing w:after="120" w:line="240" w:lineRule="auto"/>
        <w:jc w:val="both"/>
      </w:pPr>
      <w:r>
        <w:t>The direction, topography, and approximate magnitude of the alpha effect match Barry et al.2 and Barry and De Blasio,3 which supports the validity of the pipeline. The observation that a penalized linear model sits within 0.004 AUC of the best nonlinear alternative is consistent with Lotte et al., who report that linear classifiers remain competitive on EEG.8 The finding that performance saturates at a handful of electrodes is encouraging for the low-channel systems reviewed by Casson27 and benchmarked against research-grade hardware by Ratti et al.,28 with the important qualification that placement, not merely channel count, determines whether a low-channel system works; here, a frontal headband electrode performed slightly worse than the random baseline.</w:t>
      </w:r>
    </w:p>
    <w:p>
      <w:pPr>
        <w:keepNext/>
        <w:spacing w:after="70" w:before="140" w:line="240" w:lineRule="auto"/>
      </w:pPr>
      <w:r>
        <w:rPr>
          <w:rFonts w:ascii="Times New Roman" w:cs="Times New Roman" w:eastAsia="Times New Roman" w:hAnsi="Times New Roman"/>
          <w:b/>
          <w:bCs/>
          <w:i/>
          <w:iCs/>
          <w:sz w:val="24"/>
          <w:szCs w:val="24"/>
        </w:rPr>
        <w:t xml:space="preserve">Connection to objectives:</w:t>
      </w:r>
    </w:p>
    <w:p>
      <w:pPr>
        <w:spacing w:after="120" w:line="240" w:lineRule="auto"/>
        <w:jc w:val="both"/>
      </w:pPr>
      <w:r>
        <w:t>Electrode count, window length, and model complexity can all be reduced substantially before eyes-open / eyes-closed classification degrades meaningfully, while additional model complexity adds little. A single occipital electrode with a single alpha feature achieves ROC-AUC 0.817–0.830 on participants never seen in training. Adding 63 electrodes and 673 features raises this to 0.894 — an improvement of about 0.06 AUC for roughly two orders of magnitude more hardware and computation. Model family is worth less still: four learners from penalized linear to gradient boosting span 0.021 AUC. Electrode placement is worth +0.054 AUC at a one-electrode budget and nothing at nine, and, beyond a short window, recording time can outweigh electrode count in the tested settings.</w:t>
      </w:r>
    </w:p>
    <w:p>
      <w:pPr>
        <w:spacing w:after="120" w:line="240" w:lineRule="auto"/>
        <w:jc w:val="both"/>
      </w:pPr>
      <w:r>
        <w:rPr>
          <w:rFonts w:ascii="Times New Roman" w:cs="Times New Roman" w:eastAsia="Times New Roman" w:hAnsi="Times New Roman"/>
          <w:sz w:val="24"/>
          <w:szCs w:val="24"/>
        </w:rPr>
        <w:t xml:space="preserve">Alpha shows by far the largest univariate effect, yet information is so redundant that removing every alpha feature costs only 0.002 AUC: alpha is sufficient but not necessary for classification, because eye closure reshapes the entire spectrum. Posterior sites dominate, and a frontal headband electrode performs slightly worse than a randomly placed one. Generalization to unseen participants is good on average but the mean hides a long tail, with 18 of 106 participants below 0.60 and one at 0.240.</w:t>
      </w:r>
    </w:p>
    <w:p>
      <w:pPr>
        <w:spacing w:after="120" w:line="240" w:lineRule="auto"/>
        <w:jc w:val="both"/>
      </w:pPr>
      <w:r>
        <w:t>One methodological result is worth as much as the main finding. Splitting epochs at random instead of by participant inflates AUC from 0.893 to 0.940 — an error that produces more apparent improvement than the entire gain from adding features and exceeds twice the spread across the model families tested.</w:t>
      </w:r>
    </w:p>
    <w:p>
      <w:pPr>
        <w:keepNext/>
        <w:spacing w:after="70" w:before="140" w:line="240" w:lineRule="auto"/>
      </w:pPr>
      <w:r>
        <w:rPr>
          <w:rFonts w:ascii="Times New Roman" w:cs="Times New Roman" w:eastAsia="Times New Roman" w:hAnsi="Times New Roman"/>
          <w:b/>
          <w:bCs/>
          <w:i/>
          <w:iCs/>
          <w:sz w:val="24"/>
          <w:szCs w:val="24"/>
        </w:rPr>
        <w:t xml:space="preserve">Limitations:</w:t>
      </w:r>
    </w:p>
    <w:p>
      <w:pPr>
        <w:spacing w:after="55"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Condition is confounded with run.</w:t>
      </w:r>
      <w:r>
        <w:rPr>
          <w:rFonts w:ascii="Times New Roman" w:cs="Times New Roman" w:eastAsia="Times New Roman" w:hAnsi="Times New Roman"/>
          <w:sz w:val="24"/>
          <w:szCs w:val="24"/>
        </w:rPr>
        <w:t xml:space="preserve"> Eyes-open and eyes-closed were recorded as separate consecutive runs, so any slow drift in impedance, alertness, or electrode contact between runs is perfectly confounded with condition. This is inherent to the paradigm and cannot be resolved within this dataset; an interleaved-block design would be required.</w:t>
      </w:r>
    </w:p>
    <w:p>
      <w:pPr>
        <w:spacing w:after="55" w:line="240" w:lineRule="auto"/>
        <w:jc w:val="both"/>
      </w:pPr>
      <w:r>
        <w:t>(2) Differential epoch rejection. Eyes-open epochs were rejected roughly twice as often as eyes-closed (13.6% vs 7.8%; paired t p = 0.012, Wilcoxon p = 5.5 × 10−4), consistent with blinks, and the surviving epoch counts differ accordingly (2,745 vs 2,959). The robustness analysis shows the result is identical with no rejection at all (AUC 0.894 in both settings), so this asymmetry does not appear to drive the findings.</w:t>
      </w:r>
    </w:p>
    <w:p>
      <w:pPr>
        <w:spacing w:after="55" w:line="240" w:lineRule="auto"/>
        <w:jc w:val="both"/>
      </w:pPr>
      <w:r>
        <w:t>(3) Short recordings. 61 seconds per condition limits the number of long windows. Relative to the 2-second analysis, the 4-second condition lost 7 additional participants and the 8-second condition lost 22 additional participants, so the long end of the window-length curve rests on a smaller and possibly non-random subsample — participants who lose long epochs may be systematically noisier. The apparent dip at 8 seconds should therefore be interpreted cautiously rather than as evidence of saturation, and the question of where performance actually plateaus cannot be answered with 61-second recordings.</w:t>
      </w:r>
    </w:p>
    <w:p>
      <w:pPr>
        <w:spacing w:after="55"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Homogeneous sample.</w:t>
      </w:r>
      <w:r>
        <w:rPr>
          <w:rFonts w:ascii="Times New Roman" w:cs="Times New Roman" w:eastAsia="Times New Roman" w:hAnsi="Times New Roman"/>
          <w:sz w:val="24"/>
          <w:szCs w:val="24"/>
        </w:rPr>
        <w:t xml:space="preserve"> Participants are healthy volunteers of unreported demographics recorded on one system in one laboratory. Generalization to clinical populations, other hardware, or dry electrodes is untested.</w:t>
      </w:r>
    </w:p>
    <w:p>
      <w:pPr>
        <w:spacing w:after="55"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One dataset, one contrast.</w:t>
      </w:r>
      <w:r>
        <w:rPr>
          <w:rFonts w:ascii="Times New Roman" w:cs="Times New Roman" w:eastAsia="Times New Roman" w:hAnsi="Times New Roman"/>
          <w:sz w:val="24"/>
          <w:szCs w:val="24"/>
        </w:rPr>
        <w:t xml:space="preserve"> The cost curves reported here are specific to a large, spatially focal, low-dimensional effect. A subtler or more distributed contrast — mental workload, attention state, early pathology — would very plausibly show a different shape, and complexity might well earn its keep there. This is the single most important caveat: my conclusion is that complexity is unnecessary </w:t>
      </w:r>
      <w:r>
        <w:rPr>
          <w:rFonts w:ascii="Times New Roman" w:cs="Times New Roman" w:eastAsia="Times New Roman" w:hAnsi="Times New Roman"/>
          <w:i/>
          <w:iCs/>
          <w:sz w:val="24"/>
          <w:szCs w:val="24"/>
        </w:rPr>
        <w:t xml:space="preserve">for this problem</w:t>
      </w:r>
      <w:r>
        <w:rPr>
          <w:rFonts w:ascii="Times New Roman" w:cs="Times New Roman" w:eastAsia="Times New Roman" w:hAnsi="Times New Roman"/>
          <w:sz w:val="24"/>
          <w:szCs w:val="24"/>
        </w:rPr>
        <w:t xml:space="preserve">, not that it is unnecessary in general.</w:t>
      </w:r>
    </w:p>
    <w:p>
      <w:pPr>
        <w:spacing w:after="55" w:line="240" w:lineRule="auto"/>
        <w:jc w:val="both"/>
      </w:pPr>
      <w:r>
        <w:t>(6) The bad-channel detector misses clipped electrodes. Injecting known faults into these recordings showed that flat, near-dead, high-amplitude and decorrelated channels are caught reliably, but a railed or clipped electrode was caught only about 60% of the time: clipping lowers variance and preserves correlation with neighbors, so it evades both criteria. The 123 flags should therefore be read as gross faults detected, not as a complete census of imperfect channels.</w:t>
      </w:r>
    </w:p>
    <w:p>
      <w:pPr>
        <w:spacing w:after="55" w:line="240" w:lineRule="auto"/>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Simulated rather than measured deployment.</w:t>
      </w:r>
      <w:r>
        <w:rPr>
          <w:rFonts w:ascii="Times New Roman" w:cs="Times New Roman" w:eastAsia="Times New Roman" w:hAnsi="Times New Roman"/>
          <w:sz w:val="24"/>
          <w:szCs w:val="24"/>
        </w:rPr>
        <w:t xml:space="preserve"> Electrode subsets were formed by discarding channels from a 64-channel average-referenced recording. A true one-electrode system would have a different reference, different noise, and no neighbors to interpolate from, and would likely perform somewhat worse than the estimate reported here.</w:t>
      </w:r>
    </w:p>
    <w:p>
      <w:pPr>
        <w:spacing w:after="55" w:line="240" w:lineRule="auto"/>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Limited hyperparameter search.</w:t>
      </w:r>
      <w:r>
        <w:rPr>
          <w:rFonts w:ascii="Times New Roman" w:cs="Times New Roman" w:eastAsia="Times New Roman" w:hAnsi="Times New Roman"/>
          <w:sz w:val="24"/>
          <w:szCs w:val="24"/>
        </w:rPr>
        <w:t xml:space="preserve"> The analysis ran on a single CPU core, so tree-model grids were small. Given that the two nonlinear models both underperformed logistic regression, I do not think a larger search would overturn the conclusion, but I cannot exclude it.</w:t>
      </w:r>
    </w:p>
    <w:p>
      <w:pPr>
        <w:keepNext/>
        <w:spacing w:after="70" w:before="140" w:line="240" w:lineRule="auto"/>
      </w:pPr>
      <w:r>
        <w:rPr>
          <w:rFonts w:ascii="Times New Roman" w:cs="Times New Roman" w:eastAsia="Times New Roman" w:hAnsi="Times New Roman"/>
          <w:b/>
          <w:bCs/>
          <w:i/>
          <w:iCs/>
          <w:sz w:val="24"/>
          <w:szCs w:val="24"/>
        </w:rPr>
        <w:t xml:space="preserve">Recommendations for future work:</w:t>
      </w:r>
    </w:p>
    <w:p>
      <w:pPr>
        <w:spacing w:after="120" w:line="240" w:lineRule="auto"/>
        <w:jc w:val="both"/>
      </w:pPr>
      <w:r>
        <w:rPr>
          <w:rFonts w:ascii="Times New Roman" w:cs="Times New Roman" w:eastAsia="Times New Roman" w:hAnsi="Times New Roman"/>
          <w:sz w:val="24"/>
          <w:szCs w:val="24"/>
        </w:rPr>
        <w:t xml:space="preserve">For anyone building a low-cost system for this class of contrast: spend the budget on electrode placement and window length rather than channel count or model sophistication, validate on held-out participants, and report the per-participant distribution rather than the mean. Future work should test whether the saturation shape holds for harder contrasts where the effect is smaller and more distributed; whether personalized calibration rescues the poorly classified tail; whether these curves survive on genuinely low-channel dry-electrode hardware rather than simulated subsets; and whether the beta increase is harmonic or physiologically independent.</w:t>
      </w:r>
    </w:p>
    <w:p>
      <w:pPr>
        <w:keepNext/>
        <w:spacing w:after="70" w:before="140" w:line="240" w:lineRule="auto"/>
      </w:pPr>
      <w:r>
        <w:rPr>
          <w:rFonts w:ascii="Times New Roman" w:cs="Times New Roman" w:eastAsia="Times New Roman" w:hAnsi="Times New Roman"/>
          <w:b/>
          <w:bCs/>
          <w:i/>
          <w:iCs/>
          <w:sz w:val="24"/>
          <w:szCs w:val="24"/>
        </w:rPr>
        <w:t xml:space="preserve">Closing thought:</w:t>
      </w:r>
    </w:p>
    <w:p>
      <w:pPr>
        <w:spacing w:after="120" w:line="240" w:lineRule="auto"/>
        <w:jc w:val="both"/>
      </w:pPr>
      <w:r>
        <w:t>This study confirms a finding from 1929, and the confirmation is not the contribution. The contribution is the measurement of what the modern apparatus adds to Berger's observation, and the answer — about six points of AUC, less than the inflation produced by a single cross-validation mistake — is one that studies reporting only a final accuracy figure would never surface.</w:t>
      </w:r>
    </w:p>
    <w:p>
      <w:pPr/>
      <w:r>
        <w:t>Acknowledgments</w:t>
      </w:r>
    </w:p>
    <w:p>
      <w:r>
        <w:t>None.</w:t>
      </w:r>
    </w:p>
    <w:p>
      <w:pPr>
        <w:keepNext/>
        <w:spacing w:after="100" w:before="200" w:line="240" w:lineRule="auto"/>
      </w:pPr>
      <w:r>
        <w:rPr>
          <w:rFonts w:ascii="Times New Roman" w:cs="Times New Roman" w:eastAsia="Times New Roman" w:hAnsi="Times New Roman"/>
          <w:b/>
          <w:bCs/>
          <w:sz w:val="28"/>
          <w:szCs w:val="28"/>
        </w:rPr>
        <w:t xml:space="preserve">References</w:t>
      </w:r>
    </w:p>
    <w:p>
      <w:pPr>
        <w:spacing w:after="40" w:line="240" w:lineRule="auto"/>
        <w:ind w:left="300" w:hanging="300"/>
        <w:jc w:val="left"/>
      </w:pPr>
      <w:r>
        <w:rPr>
          <w:rFonts w:ascii="Times New Roman" w:cs="Times New Roman" w:eastAsia="Times New Roman" w:hAnsi="Times New Roman"/>
          <w:sz w:val="24"/>
          <w:szCs w:val="24"/>
        </w:rPr>
        <w:t>1. H. Berger. Über das Elektrenkephalogramm des Menschen. Archiv für Psychiatrie und Nervenkrankheiten. Vol. 87, pg. 527-570, 1929, https://doi.org/10.1007/BF01797193.</w:t>
      </w:r>
    </w:p>
    <w:p>
      <w:pPr>
        <w:spacing w:after="40" w:line="240" w:lineRule="auto"/>
        <w:ind w:left="300" w:hanging="300"/>
        <w:jc w:val="left"/>
      </w:pPr>
      <w:r>
        <w:rPr>
          <w:rFonts w:ascii="Times New Roman" w:cs="Times New Roman" w:eastAsia="Times New Roman" w:hAnsi="Times New Roman"/>
          <w:sz w:val="24"/>
          <w:szCs w:val="24"/>
        </w:rPr>
        <w:t>2. R. J. Barry, A. R. Clarke, S. J. Johnstone, C. A. Magee, J. A. Rushby. EEG differences between eyes-closed and eyes-open resting conditions. Clinical Neurophysiology. Vol. 118, pg. 2765-2773, 2007, https://doi.org/10.1016/j.clinph.2007.07.028.</w:t>
      </w:r>
    </w:p>
    <w:p>
      <w:pPr>
        <w:spacing w:after="40" w:line="240" w:lineRule="auto"/>
        <w:ind w:left="300" w:hanging="300"/>
        <w:jc w:val="left"/>
      </w:pPr>
      <w:r>
        <w:rPr>
          <w:rFonts w:ascii="Times New Roman" w:cs="Times New Roman" w:eastAsia="Times New Roman" w:hAnsi="Times New Roman"/>
          <w:sz w:val="24"/>
          <w:szCs w:val="24"/>
        </w:rPr>
        <w:t>3. R. J. Barry, F. M. De Blasio. EEG differences between eyes-closed and eyes-open resting remain in healthy ageing. Biological Psychology. Vol. 129, pg. 293-304, 2017, https://doi.org/10.1016/j.biopsycho.2017.09.010.</w:t>
      </w:r>
    </w:p>
    <w:p>
      <w:pPr>
        <w:spacing w:after="40" w:line="240" w:lineRule="auto"/>
        <w:ind w:left="300" w:hanging="300"/>
        <w:jc w:val="left"/>
      </w:pPr>
      <w:r>
        <w:rPr>
          <w:rFonts w:ascii="Times New Roman" w:cs="Times New Roman" w:eastAsia="Times New Roman" w:hAnsi="Times New Roman"/>
          <w:sz w:val="24"/>
          <w:szCs w:val="24"/>
        </w:rPr>
        <w:t>4. O. Jensen, A. Mazaheri. Shaping functional architecture by oscillatory alpha activity: gating by inhibition. Frontiers in Human Neuroscience. Vol. 4, pg. 186, 2010, https://doi.org/10.3389/fnhum.2010.00186.</w:t>
      </w:r>
    </w:p>
    <w:p>
      <w:pPr>
        <w:spacing w:after="40" w:line="240" w:lineRule="auto"/>
        <w:ind w:left="300" w:hanging="300"/>
        <w:jc w:val="left"/>
      </w:pPr>
      <w:r>
        <w:rPr>
          <w:rFonts w:ascii="Times New Roman" w:cs="Times New Roman" w:eastAsia="Times New Roman" w:hAnsi="Times New Roman"/>
          <w:sz w:val="24"/>
          <w:szCs w:val="24"/>
        </w:rPr>
        <w:t>5. W. Klimesch. Alpha-band oscillations, attention, and controlled access to stored information. Trends in Cognitive Sciences. Vol. 16, pg. 606-617, 2012, https://doi.org/10.1016/j.tics.2012.10.007.</w:t>
      </w:r>
    </w:p>
    <w:p>
      <w:pPr>
        <w:spacing w:after="40" w:line="240" w:lineRule="auto"/>
        <w:ind w:left="300" w:hanging="300"/>
        <w:jc w:val="left"/>
      </w:pPr>
      <w:r>
        <w:rPr>
          <w:rFonts w:ascii="Times New Roman" w:cs="Times New Roman" w:eastAsia="Times New Roman" w:hAnsi="Times New Roman"/>
          <w:sz w:val="24"/>
          <w:szCs w:val="24"/>
        </w:rPr>
        <w:t>6. G. Pfurtscheller, F. H. Lopes da Silva. Event-related EEG/MEG synchronization and desynchronization: basic principles. Clinical Neurophysiology. Vol. 110, pg. 1842-1857, 1999, https://doi.org/10.1016/S1388-2457(99)00141-8.</w:t>
      </w:r>
    </w:p>
    <w:p>
      <w:pPr>
        <w:spacing w:after="40" w:line="240" w:lineRule="auto"/>
        <w:ind w:left="300" w:hanging="300"/>
        <w:jc w:val="left"/>
      </w:pPr>
      <w:r>
        <w:rPr>
          <w:rFonts w:ascii="Times New Roman" w:cs="Times New Roman" w:eastAsia="Times New Roman" w:hAnsi="Times New Roman"/>
          <w:sz w:val="24"/>
          <w:szCs w:val="24"/>
        </w:rPr>
        <w:t>7. S. W. Hughes, V. Crunelli. Thalamic mechanisms of EEG alpha rhythms and their pathological implications. The Neuroscientist. Vol. 11, pg. 357-372, 2005, https://doi.org/10.1177/1073858405277450.</w:t>
      </w:r>
    </w:p>
    <w:p>
      <w:pPr>
        <w:spacing w:after="40" w:line="240" w:lineRule="auto"/>
        <w:ind w:left="300" w:hanging="300"/>
        <w:jc w:val="left"/>
      </w:pPr>
      <w:r>
        <w:rPr>
          <w:rFonts w:ascii="Times New Roman" w:cs="Times New Roman" w:eastAsia="Times New Roman" w:hAnsi="Times New Roman"/>
          <w:sz w:val="24"/>
          <w:szCs w:val="24"/>
        </w:rPr>
        <w:t>8. F. Lotte, L. Bougrain, A. Cichocki, M. Clerc, M. Congedo, A. Rakotomamonjy, F. Yger. A review of classification algorithms for EEG-based brain-computer interfaces: a 10 year update. Journal of Neural Engineering. Vol. 15, pg. 031005, 2018, https://doi.org/10.1088/1741-2552/aab2f2.</w:t>
      </w:r>
    </w:p>
    <w:p>
      <w:pPr>
        <w:spacing w:after="40" w:line="240" w:lineRule="auto"/>
        <w:ind w:left="300" w:hanging="300"/>
        <w:jc w:val="left"/>
      </w:pPr>
      <w:r>
        <w:rPr>
          <w:rFonts w:ascii="Times New Roman" w:cs="Times New Roman" w:eastAsia="Times New Roman" w:hAnsi="Times New Roman"/>
          <w:sz w:val="24"/>
          <w:szCs w:val="24"/>
        </w:rPr>
        <w:t>9. V. Jayaram, A. Barachant. MOABB: trustworthy algorithm benchmarking for BCIs. Journal of Neural Engineering. Vol. 15, pg. 066011, 2018, https://doi.org/10.1088/1741-2552/aadea0.</w:t>
      </w:r>
    </w:p>
    <w:p>
      <w:pPr>
        <w:spacing w:after="40" w:line="240" w:lineRule="auto"/>
        <w:ind w:left="300" w:hanging="300"/>
        <w:jc w:val="left"/>
      </w:pPr>
      <w:r>
        <w:rPr>
          <w:rFonts w:ascii="Times New Roman" w:cs="Times New Roman" w:eastAsia="Times New Roman" w:hAnsi="Times New Roman"/>
          <w:sz w:val="24"/>
          <w:szCs w:val="24"/>
        </w:rPr>
        <w:t>10. G. Schalk, D. J. McFarland, T. Hinterberger, N. Birbaumer, J. R. Wolpaw. EEG motor movement/imagery database (eegmmidb), version 1.0.0. PhysioNet. 2009, https://doi.org/10.13026/C28G6P.</w:t>
      </w:r>
    </w:p>
    <w:p>
      <w:pPr>
        <w:spacing w:after="40" w:line="240" w:lineRule="auto"/>
        <w:ind w:left="300" w:hanging="300"/>
        <w:jc w:val="left"/>
      </w:pPr>
      <w:r>
        <w:rPr>
          <w:rFonts w:ascii="Times New Roman" w:cs="Times New Roman" w:eastAsia="Times New Roman" w:hAnsi="Times New Roman"/>
          <w:sz w:val="24"/>
          <w:szCs w:val="24"/>
        </w:rPr>
        <w:t>11. A. L. Goldberger, L. A. N. Amaral, L. Glass, J. M. Hausdorff, P. C. Ivanov, R. G. Mark, J. E. Mietus, G. B. Moody, C.-K. Peng, H. E. Stanley. PhysioBank, PhysioToolkit, and PhysioNet: components of a new research resource for complex physiologic signals. Circulation. Vol. 101, pg. e215-e220, 2000, https://doi.org/10.1161/01.CIR.101.23.e215.</w:t>
      </w:r>
    </w:p>
    <w:p>
      <w:pPr>
        <w:spacing w:after="40" w:line="240" w:lineRule="auto"/>
        <w:ind w:left="300" w:hanging="300"/>
        <w:jc w:val="left"/>
      </w:pPr>
      <w:r>
        <w:rPr>
          <w:rFonts w:ascii="Times New Roman" w:cs="Times New Roman" w:eastAsia="Times New Roman" w:hAnsi="Times New Roman"/>
          <w:sz w:val="24"/>
          <w:szCs w:val="24"/>
        </w:rPr>
        <w:t>12. G. Schalk, D. J. McFarland, T. Hinterberger, N. Birbaumer, J. R. Wolpaw. BCI2000: a general-purpose brain-computer interface (BCI) system. IEEE Transactions on Biomedical Engineering. Vol. 51, pg. 1034-1043, 2004, https://doi.org/10.1109/TBME.2004.827072.</w:t>
      </w:r>
    </w:p>
    <w:p>
      <w:pPr>
        <w:spacing w:after="40" w:line="240" w:lineRule="auto"/>
        <w:ind w:left="300" w:hanging="300"/>
        <w:jc w:val="left"/>
      </w:pPr>
      <w:r>
        <w:rPr>
          <w:rFonts w:ascii="Times New Roman" w:cs="Times New Roman" w:eastAsia="Times New Roman" w:hAnsi="Times New Roman"/>
          <w:sz w:val="24"/>
          <w:szCs w:val="24"/>
        </w:rPr>
        <w:t>13. A. Xia. Diminishing returns of electrode count, epoch duration, and model complexity in EEG brain-state classification, version 1.0.0. Zenodo. 2026, https://doi.org/10.5281/zenodo.22243161.</w:t>
      </w:r>
    </w:p>
    <w:p>
      <w:pPr>
        <w:spacing w:after="40" w:line="240" w:lineRule="auto"/>
        <w:ind w:left="300" w:hanging="300"/>
        <w:jc w:val="left"/>
      </w:pPr>
      <w:r>
        <w:rPr>
          <w:rFonts w:ascii="Times New Roman" w:cs="Times New Roman" w:eastAsia="Times New Roman" w:hAnsi="Times New Roman"/>
          <w:sz w:val="24"/>
          <w:szCs w:val="24"/>
        </w:rPr>
        <w:t>14. A. Gramfort, M. Luessi, E. Larson, D. A. Engemann, D. Strohmeier, C. Brodbeck, R. Goj, M. Jas, T. Brooks, L. Parkkonen, M. Hämäläinen. MEG and EEG data analysis with MNE-Python. Frontiers in Neuroscience. Vol. 7, pg. 267, 2013, https://doi.org/10.3389/fnins.2013.00267.</w:t>
      </w:r>
    </w:p>
    <w:p>
      <w:pPr>
        <w:spacing w:after="40" w:line="240" w:lineRule="auto"/>
        <w:ind w:left="300" w:hanging="300"/>
        <w:jc w:val="left"/>
      </w:pPr>
      <w:r>
        <w:rPr>
          <w:rFonts w:ascii="Times New Roman" w:cs="Times New Roman" w:eastAsia="Times New Roman" w:hAnsi="Times New Roman"/>
          <w:sz w:val="24"/>
          <w:szCs w:val="24"/>
        </w:rPr>
        <w:t>15. A. Delorme, S. Makeig. EEGLAB: an open source toolbox for analysis of single-trial EEG dynamics including independent component analysis. Journal of Neuroscience Methods. Vol. 134, pg. 9-21, 2004, https://doi.org/10.1016/j.jneumeth.2003.10.009.</w:t>
      </w:r>
    </w:p>
    <w:p>
      <w:pPr>
        <w:spacing w:after="40" w:line="240" w:lineRule="auto"/>
        <w:ind w:left="300" w:hanging="300"/>
        <w:jc w:val="left"/>
      </w:pPr>
      <w:r>
        <w:rPr>
          <w:rFonts w:ascii="Times New Roman" w:cs="Times New Roman" w:eastAsia="Times New Roman" w:hAnsi="Times New Roman"/>
          <w:sz w:val="24"/>
          <w:szCs w:val="24"/>
        </w:rPr>
        <w:t>16. H. H. Jasper. The ten-twenty electrode system of the International Federation. Electroencephalography and Clinical Neurophysiology. Vol. 10, pg. 371-375, 1958.</w:t>
      </w:r>
    </w:p>
    <w:p>
      <w:pPr>
        <w:spacing w:after="40" w:line="240" w:lineRule="auto"/>
        <w:ind w:left="300" w:hanging="300"/>
        <w:jc w:val="left"/>
      </w:pPr>
      <w:r>
        <w:rPr>
          <w:rFonts w:ascii="Times New Roman" w:cs="Times New Roman" w:eastAsia="Times New Roman" w:hAnsi="Times New Roman"/>
          <w:sz w:val="24"/>
          <w:szCs w:val="24"/>
        </w:rPr>
        <w:t>17. N. Bigdely-Shamlo, T. Mullen, C. Kothe, K.-M. Su, K. A. Robbins. The PREP pipeline: standardized preprocessing for large-scale EEG analysis. Frontiers in Neuroinformatics. Vol. 9, pg. 16, 2015, https://doi.org/10.3389/fninf.2015.00016.</w:t>
      </w:r>
    </w:p>
    <w:p>
      <w:pPr>
        <w:spacing w:after="40" w:line="240" w:lineRule="auto"/>
        <w:ind w:left="300" w:hanging="300"/>
        <w:jc w:val="left"/>
      </w:pPr>
      <w:r>
        <w:rPr>
          <w:rFonts w:ascii="Times New Roman" w:cs="Times New Roman" w:eastAsia="Times New Roman" w:hAnsi="Times New Roman"/>
          <w:sz w:val="24"/>
          <w:szCs w:val="24"/>
        </w:rPr>
        <w:t>18. M. Chaumon, D. V. M. Bishop, N. A. Busch. A practical guide to the selection of independent components of the electroencephalogram for artifact correction. Journal of Neuroscience Methods. Vol. 250, pg. 47-63, 2015, https://doi.org/10.1016/j.jneumeth.2015.02.025.</w:t>
      </w:r>
    </w:p>
    <w:p>
      <w:pPr>
        <w:spacing w:after="40" w:line="240" w:lineRule="auto"/>
        <w:ind w:left="300" w:hanging="300"/>
        <w:jc w:val="left"/>
      </w:pPr>
      <w:r>
        <w:rPr>
          <w:rFonts w:ascii="Times New Roman" w:cs="Times New Roman" w:eastAsia="Times New Roman" w:hAnsi="Times New Roman"/>
          <w:sz w:val="24"/>
          <w:szCs w:val="24"/>
        </w:rPr>
        <w:t>19. P. D. Welch. The use of fast Fourier transform for the estimation of power spectra: a method based on time averaging over short, modified periodograms. IEEE Transactions on Audio and Electroacoustics. Vol. 15, pg. 70-73, 1967, https://doi.org/10.1109/TAU.1967.1161901.</w:t>
      </w:r>
    </w:p>
    <w:p>
      <w:pPr>
        <w:spacing w:after="40" w:line="240" w:lineRule="auto"/>
        <w:ind w:left="300" w:hanging="300"/>
        <w:jc w:val="left"/>
      </w:pPr>
      <w:r>
        <w:rPr>
          <w:rFonts w:ascii="Times New Roman" w:cs="Times New Roman" w:eastAsia="Times New Roman" w:hAnsi="Times New Roman"/>
          <w:sz w:val="24"/>
          <w:szCs w:val="24"/>
        </w:rPr>
        <w:t>20. C. Babiloni, R. J. Barry, E. Başar, K. J. Blinowska, A. Cichocki, W. H. I. M. Drinkenburg, W. Klimesch, R. T. Knight, F. Lopes da Silva, P. Nunez, R. Oostenveld, J. Jeong, R. Pascual-Marqui, P. Valdes-Sosa, M. Hallett. International Federation of Clinical Neurophysiology (IFCN) - EEG research workgroup: recommendations on frequency and topographic analysis of resting state EEG rhythms. Part 1. Clinical Neurophysiology. Vol. 131, pg. 285-307, 2020, https://doi.org/10.1016/j.clinph.2019.06.234.</w:t>
      </w:r>
    </w:p>
    <w:p>
      <w:pPr>
        <w:spacing w:after="40" w:line="240" w:lineRule="auto"/>
        <w:ind w:left="300" w:hanging="300"/>
        <w:jc w:val="left"/>
      </w:pPr>
      <w:r>
        <w:rPr>
          <w:rFonts w:ascii="Times New Roman" w:cs="Times New Roman" w:eastAsia="Times New Roman" w:hAnsi="Times New Roman"/>
          <w:sz w:val="24"/>
          <w:szCs w:val="24"/>
        </w:rPr>
        <w:t>21. W. Klimesch. EEG alpha and theta oscillations reflect cognitive and memory performance: a review and analysis. Brain Research Reviews. Vol. 29, pg. 169-195, 1999, https://doi.org/10.1016/S0165-0173(98)00056-3.</w:t>
      </w:r>
    </w:p>
    <w:p>
      <w:pPr>
        <w:spacing w:after="40" w:line="240" w:lineRule="auto"/>
        <w:ind w:left="300" w:hanging="300"/>
        <w:jc w:val="left"/>
      </w:pPr>
      <w:r>
        <w:rPr>
          <w:rFonts w:ascii="Times New Roman" w:cs="Times New Roman" w:eastAsia="Times New Roman" w:hAnsi="Times New Roman"/>
          <w:sz w:val="24"/>
          <w:szCs w:val="24"/>
        </w:rPr>
        <w:t>22. S. Saeb, L. Lonini, A. Jayaraman, D. C. Mohr, K. P. Kording. The need to approximate the use-case in clinical machine learning. GigaScience. Vol. 6, pg. 1-9, 2017, https://doi.org/10.1093/gigascience/gix019.</w:t>
      </w:r>
    </w:p>
    <w:p>
      <w:pPr>
        <w:spacing w:after="40" w:line="240" w:lineRule="auto"/>
        <w:ind w:left="300" w:hanging="300"/>
        <w:jc w:val="left"/>
      </w:pPr>
      <w:r>
        <w:rPr>
          <w:rFonts w:ascii="Times New Roman" w:cs="Times New Roman" w:eastAsia="Times New Roman" w:hAnsi="Times New Roman"/>
          <w:sz w:val="24"/>
          <w:szCs w:val="24"/>
        </w:rPr>
        <w:t>23. S. Kaufman, S. Rosset, C. Perlich, O. Stitelman. Leakage in data mining: formulation, detection, and avoidance. ACM Transactions on Knowledge Discovery from Data. Vol. 6, pg. 15, 2012, https://doi.org/10.1145/2382577.2382579.</w:t>
      </w:r>
    </w:p>
    <w:p>
      <w:pPr>
        <w:spacing w:after="40" w:line="240" w:lineRule="auto"/>
        <w:ind w:left="300" w:hanging="300"/>
        <w:jc w:val="left"/>
      </w:pPr>
      <w:r>
        <w:rPr>
          <w:rFonts w:ascii="Times New Roman" w:cs="Times New Roman" w:eastAsia="Times New Roman" w:hAnsi="Times New Roman"/>
          <w:sz w:val="24"/>
          <w:szCs w:val="24"/>
        </w:rPr>
        <w:t>24. F. Pedregosa, G. Varoquaux, A. Gramfort, V. Michel, B. Thirion, O. Grisel, M. Blondel, P. Prettenhofer, R. Weiss, V. Dubourg, J. Vanderplas, A. Passos, D. Cournapeau, M. Brucher, M. Perrot, É. Duchesnay. Scikit-learn: machine learning in Python. Journal of Machine Learning Research. Vol. 12, pg. 2825-2830, 2011.</w:t>
      </w:r>
    </w:p>
    <w:p>
      <w:pPr>
        <w:spacing w:after="40" w:line="240" w:lineRule="auto"/>
        <w:ind w:left="300" w:hanging="300"/>
        <w:jc w:val="left"/>
      </w:pPr>
      <w:r>
        <w:rPr>
          <w:rFonts w:ascii="Times New Roman" w:cs="Times New Roman" w:eastAsia="Times New Roman" w:hAnsi="Times New Roman"/>
          <w:sz w:val="24"/>
          <w:szCs w:val="24"/>
        </w:rPr>
        <w:t>25. Y. Benjamini, Y. Hochberg. Controlling the false discovery rate: a practical and powerful approach to multiple testing. Journal of the Royal Statistical Society: Series B. Vol. 57, pg. 289-300, 1995, https://doi.org/10.1111/j.2517-6161.1995.tb02031.x.</w:t>
      </w:r>
    </w:p>
    <w:p>
      <w:pPr>
        <w:spacing w:after="40" w:line="240" w:lineRule="auto"/>
        <w:ind w:left="300" w:hanging="300"/>
        <w:jc w:val="left"/>
      </w:pPr>
      <w:r>
        <w:rPr>
          <w:rFonts w:ascii="Times New Roman" w:cs="Times New Roman" w:eastAsia="Times New Roman" w:hAnsi="Times New Roman"/>
          <w:sz w:val="24"/>
          <w:szCs w:val="24"/>
        </w:rPr>
        <w:t>26. G. Varoquaux. Cross-validation failure: small sample sizes lead to large error bars. NeuroImage. Vol. 180, pg. 68-77, 2018, https://doi.org/10.1016/j.neuroimage.2017.06.061.</w:t>
      </w:r>
    </w:p>
    <w:p>
      <w:pPr>
        <w:spacing w:after="40" w:line="240" w:lineRule="auto"/>
        <w:ind w:left="300" w:hanging="300"/>
        <w:jc w:val="left"/>
      </w:pPr>
      <w:r>
        <w:rPr>
          <w:rFonts w:ascii="Times New Roman" w:cs="Times New Roman" w:eastAsia="Times New Roman" w:hAnsi="Times New Roman"/>
          <w:sz w:val="24"/>
          <w:szCs w:val="24"/>
        </w:rPr>
        <w:t>27. A. J. Casson. Wearable EEG and beyond. Biomedical Engineering Letters. Vol. 9, pg. 53-71, 2019, https://doi.org/10.1007/s13534-018-00093-6.</w:t>
      </w:r>
    </w:p>
    <w:p>
      <w:pPr>
        <w:spacing w:after="40" w:line="240" w:lineRule="auto"/>
        <w:ind w:left="300" w:hanging="300"/>
        <w:jc w:val="left"/>
      </w:pPr>
      <w:r>
        <w:rPr>
          <w:rFonts w:ascii="Times New Roman" w:cs="Times New Roman" w:eastAsia="Times New Roman" w:hAnsi="Times New Roman"/>
          <w:sz w:val="24"/>
          <w:szCs w:val="24"/>
        </w:rPr>
        <w:t>28. E. Ratti, S. Waninger, C. Berka, G. Ruffini, A. Verma. Comparison of medical and consumer wireless EEG systems for use in clinical trials. Frontiers in Human Neuroscience. Vol. 11, pg. 398, 2017, https://doi.org/10.3389/fnhum.2017.00398.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343db9a6e97ec8dcb6c92499a5d8bcca506b9.png"/><Relationship Id="rId8" Type="http://schemas.openxmlformats.org/officeDocument/2006/relationships/image" Target="media/c1a2320a9e9cecae02b118b9927ef00f4861a469.png"/><Relationship Id="rId9" Type="http://schemas.openxmlformats.org/officeDocument/2006/relationships/image" Target="media/811ca0c0ec33b1b314e381f9a7f075817e4e92ea.png"/><Relationship Id="rId10" Type="http://schemas.openxmlformats.org/officeDocument/2006/relationships/image" Target="media/1f5a3208e7c1eb0e4a4aef1cf1ab7f204dc98da7.png"/><Relationship Id="rId11" Type="http://schemas.openxmlformats.org/officeDocument/2006/relationships/image" Target="media/ad39c825e301c13873ddb666ec737258d1214255.png"/><Relationship Id="rId12" Type="http://schemas.openxmlformats.org/officeDocument/2006/relationships/image" Target="media/ca6254e0081aa1910bfd97058d95a00bffcc4d20.png"/><Relationship Id="rId13" Type="http://schemas.openxmlformats.org/officeDocument/2006/relationships/image" Target="media/4ef5c7c1405ecf59a3715eb46ae72a4d704327a8.png"/><Relationship Id="rId14" Type="http://schemas.openxmlformats.org/officeDocument/2006/relationships/image" Target="media/feffb800ed89af67a10b131ab6f58fe880b1827e.png"/><Relationship Id="rId15" Type="http://schemas.openxmlformats.org/officeDocument/2006/relationships/image" Target="media/69d824046da3972fcae16e406bd360ecd770aec0.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2026-09-02T23:37:35.394Z</dcterms:created>
  <dcterms:modified xsi:type="dcterms:W3CDTF">2026-09-02T23:37:35.475Z</dcterms:modified>
  <dc:description/>
</cp:coreProperties>
</file>

<file path=docProps/custom.xml><?xml version="1.0" encoding="utf-8"?>
<Properties xmlns="http://schemas.openxmlformats.org/officeDocument/2006/custom-properties" xmlns:vt="http://schemas.openxmlformats.org/officeDocument/2006/docPropsVTypes"/>
</file>