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Aiko Tanaka</w:t>
      </w:r>
    </w:p>
    <w:p>
      <w:r>
        <w:t>Japanese | Age: 28</w:t>
      </w:r>
    </w:p>
    <w:p>
      <w:pPr>
        <w:pStyle w:val="Heading2"/>
      </w:pPr>
      <w:r>
        <w:t>EDUCATION</w:t>
      </w:r>
    </w:p>
    <w:p>
      <w:pPr>
        <w:pStyle w:val="ListBullet"/>
      </w:pPr>
      <w:r>
        <w:t>2012–2016 BA International Relations, Waseda University (Japan) (240 ECTS)</w:t>
      </w:r>
    </w:p>
    <w:p>
      <w:pPr>
        <w:pStyle w:val="ListBullet"/>
      </w:pPr>
      <w:r>
        <w:t>2017–2019 MA Asian Studies, University of Tokyo (Japan)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2019–Present Cultural Affairs Assistant, Japan Foundation Tokyo</w:t>
      </w:r>
    </w:p>
    <w:p>
      <w:pPr>
        <w:pStyle w:val="Heading2"/>
      </w:pPr>
      <w:r>
        <w:t>KEY SKILLS &amp; LANGUAGES</w:t>
      </w:r>
    </w:p>
    <w:p>
      <w:r>
        <w:t>Skills: Cross-Cultural Communication | Research | Japanese Writing</w:t>
      </w:r>
    </w:p>
    <w:p>
      <w:r>
        <w:t>Languages: English (B2), Japanese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