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GCL Surface and Conceptual Binding Approach</w:t>
      </w:r>
    </w:p>
    <w:p>
      <w:pPr>
        <w:pStyle w:val="Subtitle"/>
        <w:jc w:val="center"/>
      </w:pPr>
      <w:r>
        <w:t>A workbench document for mapping conceptual bindings onto a typed, receipted Genetic Coding Language surface</w:t>
      </w:r>
    </w:p>
    <w:p>
      <w:r>
        <w:t>Status: HOLD / workbench synthesis, not formal proof</w:t>
      </w:r>
    </w:p>
    <w:p>
      <w:pPr>
        <w:pStyle w:val="Heading1"/>
      </w:pPr>
      <w:r>
        <w:t>1. Purpose</w:t>
      </w:r>
    </w:p>
    <w:p>
      <w:r>
        <w:t>This document exports the current approach to conceptual bindings in the Research Stack. It explains how GCL acts as a combined surface for biological genetic coding, synthetic genetic coding, stack-native conceptual coding, algorithmic source-code coding, Mass Number bindings, surface projections, and Warden-gated receipts.</w:t>
      </w:r>
    </w:p>
    <w:p>
      <w:r>
        <w:t>The goal is not to collapse every code into the same ontology. The goal is to give each coding regime a shared comparison surface while preserving its authority boundary, validation route, and failure mode.</w:t>
      </w:r>
    </w:p>
    <w:p>
      <w:pPr>
        <w:pStyle w:val="CodeBlock"/>
      </w:pPr>
      <w:r>
        <w:rPr>
          <w:rFonts w:ascii="Consolas" w:hAnsi="Consolas" w:eastAsia="Consolas"/>
          <w:sz w:val="17"/>
        </w:rPr>
        <w:t>coding variant</w:t>
        <w:br/>
        <w:t xml:space="preserve">  -&gt; GCL genotype slots</w:t>
        <w:br/>
        <w:t xml:space="preserve">  -&gt; expressed phenotype</w:t>
        <w:br/>
        <w:t xml:space="preserve">  -&gt; admissibility / closure gates</w:t>
        <w:br/>
        <w:t xml:space="preserve">  -&gt; projection surface</w:t>
        <w:br/>
        <w:t xml:space="preserve">  -&gt; receipt target</w:t>
      </w:r>
    </w:p>
    <w:p>
      <w:pPr>
        <w:pStyle w:val="Heading1"/>
      </w:pPr>
      <w:r>
        <w:t>2. Core thesis</w:t>
      </w:r>
    </w:p>
    <w:p>
      <w:r>
        <w:t>A conceptual binding is a controlled encoding of an idea into a typed unit that can be expressed, mutated, recombined, projected, gated, repaired, and receipted. GCL provides the host grammar for those bindings.</w:t>
      </w:r>
    </w:p>
    <w:p>
      <w:pPr>
        <w:pStyle w:val="CodeBlock"/>
      </w:pPr>
      <w:r>
        <w:rPr>
          <w:rFonts w:ascii="Consolas" w:hAnsi="Consolas" w:eastAsia="Consolas"/>
          <w:sz w:val="17"/>
        </w:rPr>
        <w:t>intuition</w:t>
        <w:br/>
        <w:t xml:space="preserve">  -&gt; encoded concept genome</w:t>
        <w:br/>
        <w:t xml:space="preserve">  -&gt; expansion slots</w:t>
        <w:br/>
        <w:t xml:space="preserve">  -&gt; admissibility gates</w:t>
        <w:br/>
        <w:t xml:space="preserve">  -&gt; receipts</w:t>
        <w:br/>
        <w:t xml:space="preserve">  -&gt; projections</w:t>
        <w:br/>
        <w:t xml:space="preserve">  -&gt; formalization targets</w:t>
      </w:r>
    </w:p>
    <w:p>
      <w:r>
        <w:t>In compression terms, GCL exists to preserve invariant structure, bound residual distortion, control compression pressure, choose a scale, and record what fails.</w:t>
      </w:r>
    </w:p>
    <w:p>
      <w:pPr>
        <w:pStyle w:val="Heading1"/>
      </w:pPr>
      <w:r>
        <w:t>3. Key terms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Term</w:t>
            </w:r>
          </w:p>
        </w:tc>
        <w:tc>
          <w:tcPr>
            <w:tcW w:type="dxa" w:w="5112"/>
            <w:shd w:fill="D9EAF7"/>
          </w:tcPr>
          <w:p>
            <w:r/>
            <w:r>
              <w:rPr>
                <w:b/>
                <w:sz w:val="18"/>
              </w:rPr>
              <w:t>Definition</w:t>
            </w:r>
          </w:p>
        </w:tc>
      </w:tr>
      <w:tr>
        <w:tc>
          <w:tcPr>
            <w:tcW w:type="dxa" w:w="5112"/>
          </w:tcPr>
          <w:p>
            <w:r/>
            <w:r>
              <w:rPr>
                <w:b/>
                <w:sz w:val="18"/>
              </w:rPr>
              <w:t>GCL</w:t>
            </w:r>
          </w:p>
        </w:tc>
        <w:tc>
          <w:tcPr>
            <w:tcW w:type="dxa" w:w="5112"/>
          </w:tcPr>
          <w:p>
            <w:r/>
            <w:r>
              <w:rPr>
                <w:b w:val="0"/>
                <w:sz w:val="18"/>
              </w:rPr>
              <w:t>Genetic Coding Language. A host grammar for encoding research objects as typed, mutable, receipt-gated units.</w:t>
            </w:r>
          </w:p>
        </w:tc>
      </w:tr>
      <w:tr>
        <w:tc>
          <w:tcPr>
            <w:tcW w:type="dxa" w:w="5112"/>
          </w:tcPr>
          <w:p>
            <w:r/>
            <w:r>
              <w:rPr>
                <w:b/>
                <w:sz w:val="18"/>
              </w:rPr>
              <w:t>Conceptual binding</w:t>
            </w:r>
          </w:p>
        </w:tc>
        <w:tc>
          <w:tcPr>
            <w:tcW w:type="dxa" w:w="5112"/>
          </w:tcPr>
          <w:p>
            <w:r/>
            <w:r>
              <w:rPr>
                <w:b w:val="0"/>
                <w:sz w:val="18"/>
              </w:rPr>
              <w:t>A typed commitment that maps an intuition or object into a GCL unit with declared expression, mutation, repair, gates, projections, and receipts.</w:t>
            </w:r>
          </w:p>
        </w:tc>
      </w:tr>
      <w:tr>
        <w:tc>
          <w:tcPr>
            <w:tcW w:type="dxa" w:w="5112"/>
          </w:tcPr>
          <w:p>
            <w:r/>
            <w:r>
              <w:rPr>
                <w:b/>
                <w:sz w:val="18"/>
              </w:rPr>
              <w:t>Genotype</w:t>
            </w:r>
          </w:p>
        </w:tc>
        <w:tc>
          <w:tcPr>
            <w:tcW w:type="dxa" w:w="5112"/>
          </w:tcPr>
          <w:p>
            <w:r/>
            <w:r>
              <w:rPr>
                <w:b w:val="0"/>
                <w:sz w:val="18"/>
              </w:rPr>
              <w:t>The internal encoded structure: symbols, codon-like slots, constraints, mutation rules, repair rules, and admissibility requirements.</w:t>
            </w:r>
          </w:p>
        </w:tc>
      </w:tr>
      <w:tr>
        <w:tc>
          <w:tcPr>
            <w:tcW w:type="dxa" w:w="5112"/>
          </w:tcPr>
          <w:p>
            <w:r/>
            <w:r>
              <w:rPr>
                <w:b/>
                <w:sz w:val="18"/>
              </w:rPr>
              <w:t>Phenotype</w:t>
            </w:r>
          </w:p>
        </w:tc>
        <w:tc>
          <w:tcPr>
            <w:tcW w:type="dxa" w:w="5112"/>
          </w:tcPr>
          <w:p>
            <w:r/>
            <w:r>
              <w:rPr>
                <w:b w:val="0"/>
                <w:sz w:val="18"/>
              </w:rPr>
              <w:t>The outward expression or projection: a wiki page, graph node, diagram, simulator behavior, theorem target, or rendered surface.</w:t>
            </w:r>
          </w:p>
        </w:tc>
      </w:tr>
      <w:tr>
        <w:tc>
          <w:tcPr>
            <w:tcW w:type="dxa" w:w="5112"/>
          </w:tcPr>
          <w:p>
            <w:r/>
            <w:r>
              <w:rPr>
                <w:b/>
                <w:sz w:val="18"/>
              </w:rPr>
              <w:t>Receipt</w:t>
            </w:r>
          </w:p>
        </w:tc>
        <w:tc>
          <w:tcPr>
            <w:tcW w:type="dxa" w:w="5112"/>
          </w:tcPr>
          <w:p>
            <w:r/>
            <w:r>
              <w:rPr>
                <w:b w:val="0"/>
                <w:sz w:val="18"/>
              </w:rPr>
              <w:t>An evidence object or audit artifact: theorem, build result, benchmark, measurement, source audit, dataset row, simulation trace, or safety gate pass.</w:t>
            </w:r>
          </w:p>
        </w:tc>
      </w:tr>
      <w:tr>
        <w:tc>
          <w:tcPr>
            <w:tcW w:type="dxa" w:w="5112"/>
          </w:tcPr>
          <w:p>
            <w:r/>
            <w:r>
              <w:rPr>
                <w:b/>
                <w:sz w:val="18"/>
              </w:rPr>
              <w:t>Warden</w:t>
            </w:r>
          </w:p>
        </w:tc>
        <w:tc>
          <w:tcPr>
            <w:tcW w:type="dxa" w:w="5112"/>
          </w:tcPr>
          <w:p>
            <w:r/>
            <w:r>
              <w:rPr>
                <w:b w:val="0"/>
                <w:sz w:val="18"/>
              </w:rPr>
              <w:t>The promotion gate that blocks overclaims, missing receipts, projection/proof confusion, recursion failures, and fixed-point violations.</w:t>
            </w:r>
          </w:p>
        </w:tc>
      </w:tr>
    </w:tbl>
    <w:p>
      <w:pPr>
        <w:pStyle w:val="Heading1"/>
      </w:pPr>
      <w:r>
        <w:t>4. The combined GCL surface</w:t>
      </w:r>
    </w:p>
    <w:p>
      <w:r>
        <w:t>The combined surface is where multiple coding regimes can be compared through the same operations: encode, express, mutate, recombine, repair, gate, project, and receipt. The surface does not make those regimes ontologically identical; it only gives them a shared inspection grammar.</w:t>
      </w:r>
    </w:p>
    <w:p>
      <w:pPr>
        <w:pStyle w:val="ListBullet"/>
      </w:pPr>
      <w:r>
        <w:t>Biological and synthetic codes contribute controlled degeneracy, mutation tolerance, repair, and expression boundaries.</w:t>
      </w:r>
    </w:p>
    <w:p>
      <w:pPr>
        <w:pStyle w:val="ListBullet"/>
      </w:pPr>
      <w:r>
        <w:t>Stack-native GCL contributes typed objects, slots, authority scopes, blocked usages, and receipts.</w:t>
      </w:r>
    </w:p>
    <w:p>
      <w:pPr>
        <w:pStyle w:val="ListBullet"/>
      </w:pPr>
      <w:r>
        <w:t>Mass Number bindings contribute invariant-focused compression and reverse-collapse requirements.</w:t>
      </w:r>
    </w:p>
    <w:p>
      <w:pPr>
        <w:pStyle w:val="ListBullet"/>
      </w:pPr>
      <w:r>
        <w:t>Algorithmic coding contributes executable behavior, tests, semantic equivalence checks, and refactor/collapse candidates.</w:t>
      </w:r>
    </w:p>
    <w:p>
      <w:pPr>
        <w:pStyle w:val="ListBullet"/>
      </w:pPr>
      <w:r>
        <w:t>Surface runtimes contribute inspectable projections while remaining phenotypes, not proof.</w:t>
      </w:r>
    </w:p>
    <w:p>
      <w:pPr>
        <w:pStyle w:val="Heading1"/>
      </w:pPr>
      <w:r>
        <w:t>5. The conceptual binding lifecycle</w:t>
      </w:r>
    </w:p>
    <w:p>
      <w:r>
        <w:t>A binding starts as an intuition, but it only becomes operational when it declares a unit, expression, mutation rule, repair path, gate, projection surface, and receipt target.</w:t>
      </w:r>
    </w:p>
    <w:p>
      <w:pPr>
        <w:pStyle w:val="CodeBlock"/>
      </w:pPr>
      <w:r>
        <w:rPr>
          <w:rFonts w:ascii="Consolas" w:hAnsi="Consolas" w:eastAsia="Consolas"/>
          <w:sz w:val="17"/>
        </w:rPr>
        <w:t>RAW_INTUITION</w:t>
        <w:br/>
        <w:t xml:space="preserve">  -&gt; NAME_AND_ALIAS_CAPTURE</w:t>
        <w:br/>
        <w:t xml:space="preserve">  -&gt; GCL_OBJECT_ENCODING</w:t>
        <w:br/>
        <w:t xml:space="preserve">  -&gt; GENOTYPE_SLOT_FILL</w:t>
        <w:br/>
        <w:t xml:space="preserve">  -&gt; PHENOTYPE_EXPRESSION</w:t>
        <w:br/>
        <w:t xml:space="preserve">  -&gt; MASS_NUMBER_OR_SURFACE_BINDING</w:t>
        <w:br/>
        <w:t xml:space="preserve">  -&gt; ADMISSIBILITY_CHECK</w:t>
        <w:br/>
        <w:t xml:space="preserve">  -&gt; PROJECTION</w:t>
        <w:br/>
        <w:t xml:space="preserve">  -&gt; RECEIPT_OR_HOLD</w:t>
      </w:r>
    </w:p>
    <w:p>
      <w:r>
        <w:br w:type="page"/>
      </w:r>
    </w:p>
    <w:p>
      <w:pPr>
        <w:pStyle w:val="Heading1"/>
      </w:pPr>
      <w:r>
        <w:t>6. Compression interpretation: Delta-Phi-Gamma-Lambda</w:t>
      </w:r>
    </w:p>
    <w:p>
      <w:r>
        <w:t>Delta-Phi-Gamma-Lambda is the audit grammar used to ask whether a binding or compression preserved what mattered. It is not a claim that the four symbols already form a proven scalar metric. It becomes measurable only when each term is assigned a concrete extractor, threshold, or receipt.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D3"/>
            <w:vAlign w:val="top"/>
          </w:tcPr>
          <w:p>
            <w:r/>
            <w:r>
              <w:rPr>
                <w:b/>
                <w:sz w:val="18"/>
              </w:rPr>
              <w:t>Term</w:t>
            </w:r>
          </w:p>
        </w:tc>
        <w:tc>
          <w:tcPr>
            <w:tcW w:type="dxa" w:w="2045"/>
            <w:shd w:fill="D9EAD3"/>
            <w:vAlign w:val="top"/>
          </w:tcPr>
          <w:p>
            <w:r/>
            <w:r>
              <w:rPr>
                <w:b/>
                <w:sz w:val="18"/>
              </w:rPr>
              <w:t>Symbol</w:t>
            </w:r>
          </w:p>
        </w:tc>
        <w:tc>
          <w:tcPr>
            <w:tcW w:type="dxa" w:w="2045"/>
            <w:shd w:fill="D9EAD3"/>
            <w:vAlign w:val="top"/>
          </w:tcPr>
          <w:p>
            <w:r/>
            <w:r>
              <w:rPr>
                <w:b/>
                <w:sz w:val="18"/>
              </w:rPr>
              <w:t>Role</w:t>
            </w:r>
          </w:p>
        </w:tc>
        <w:tc>
          <w:tcPr>
            <w:tcW w:type="dxa" w:w="2045"/>
            <w:shd w:fill="D9EAD3"/>
            <w:vAlign w:val="top"/>
          </w:tcPr>
          <w:p>
            <w:r/>
            <w:r>
              <w:rPr>
                <w:b/>
                <w:sz w:val="18"/>
              </w:rPr>
              <w:t>Explicit definition</w:t>
            </w:r>
          </w:p>
        </w:tc>
        <w:tc>
          <w:tcPr>
            <w:tcW w:type="dxa" w:w="2045"/>
            <w:shd w:fill="D9EAD3"/>
            <w:vAlign w:val="top"/>
          </w:tcPr>
          <w:p>
            <w:r/>
            <w:r>
              <w:rPr>
                <w:b/>
                <w:sz w:val="18"/>
              </w:rPr>
              <w:t>Examples</w:t>
            </w:r>
          </w:p>
        </w:tc>
      </w:tr>
      <w:tr>
        <w:tc>
          <w:tcPr>
            <w:tcW w:type="dxa" w:w="2045"/>
            <w:vAlign w:val="top"/>
          </w:tcPr>
          <w:p>
            <w:r/>
            <w:r>
              <w:rPr>
                <w:b/>
                <w:sz w:val="18"/>
              </w:rPr>
              <w:t>Delta</w:t>
            </w:r>
          </w:p>
        </w:tc>
        <w:tc>
          <w:tcPr>
            <w:tcW w:type="dxa" w:w="2045"/>
            <w:vAlign w:val="top"/>
          </w:tcPr>
          <w:p>
            <w:r/>
            <w:r>
              <w:rPr>
                <w:b w:val="0"/>
                <w:sz w:val="18"/>
              </w:rPr>
              <w:t>Δ</w:t>
            </w:r>
          </w:p>
        </w:tc>
        <w:tc>
          <w:tcPr>
            <w:tcW w:type="dxa" w:w="2045"/>
            <w:vAlign w:val="top"/>
          </w:tcPr>
          <w:p>
            <w:r/>
            <w:r>
              <w:rPr>
                <w:b w:val="0"/>
                <w:sz w:val="18"/>
              </w:rPr>
              <w:t>Residual change</w:t>
            </w:r>
          </w:p>
        </w:tc>
        <w:tc>
          <w:tcPr>
            <w:tcW w:type="dxa" w:w="2045"/>
            <w:vAlign w:val="top"/>
          </w:tcPr>
          <w:p>
            <w:r/>
            <w:r>
              <w:rPr>
                <w:b w:val="0"/>
                <w:sz w:val="18"/>
              </w:rPr>
              <w:t>What changed, was lost, distorted, mismatched, or left over after encoding, projection, compression, translation, or reconstruction.</w:t>
            </w:r>
          </w:p>
        </w:tc>
        <w:tc>
          <w:tcPr>
            <w:tcW w:type="dxa" w:w="2045"/>
            <w:vAlign w:val="top"/>
          </w:tcPr>
          <w:p>
            <w:r/>
            <w:r>
              <w:rPr>
                <w:b w:val="0"/>
                <w:sz w:val="18"/>
              </w:rPr>
              <w:t>Difference between source and projection; drift between a file and its memory card; semantic residue after summarization.</w:t>
            </w:r>
          </w:p>
        </w:tc>
      </w:tr>
      <w:tr>
        <w:tc>
          <w:tcPr>
            <w:tcW w:type="dxa" w:w="2045"/>
            <w:vAlign w:val="top"/>
          </w:tcPr>
          <w:p>
            <w:r/>
            <w:r>
              <w:rPr>
                <w:b/>
                <w:sz w:val="18"/>
              </w:rPr>
              <w:t>Phi</w:t>
            </w:r>
          </w:p>
        </w:tc>
        <w:tc>
          <w:tcPr>
            <w:tcW w:type="dxa" w:w="2045"/>
            <w:vAlign w:val="top"/>
          </w:tcPr>
          <w:p>
            <w:r/>
            <w:r>
              <w:rPr>
                <w:b w:val="0"/>
                <w:sz w:val="18"/>
              </w:rPr>
              <w:t>φ</w:t>
            </w:r>
          </w:p>
        </w:tc>
        <w:tc>
          <w:tcPr>
            <w:tcW w:type="dxa" w:w="2045"/>
            <w:vAlign w:val="top"/>
          </w:tcPr>
          <w:p>
            <w:r/>
            <w:r>
              <w:rPr>
                <w:b w:val="0"/>
                <w:sz w:val="18"/>
              </w:rPr>
              <w:t>Invariant structure</w:t>
            </w:r>
          </w:p>
        </w:tc>
        <w:tc>
          <w:tcPr>
            <w:tcW w:type="dxa" w:w="2045"/>
            <w:vAlign w:val="top"/>
          </w:tcPr>
          <w:p>
            <w:r/>
            <w:r>
              <w:rPr>
                <w:b w:val="0"/>
                <w:sz w:val="18"/>
              </w:rPr>
              <w:t>The lawful structure that should survive the transformation: coherence, phase, meaning, constraint, identity, motif, or proof-relevant invariant.</w:t>
            </w:r>
          </w:p>
        </w:tc>
        <w:tc>
          <w:tcPr>
            <w:tcW w:type="dxa" w:w="2045"/>
            <w:vAlign w:val="top"/>
          </w:tcPr>
          <w:p>
            <w:r/>
            <w:r>
              <w:rPr>
                <w:b w:val="0"/>
                <w:sz w:val="18"/>
              </w:rPr>
              <w:t>The concept identity preserved across aliases; a motif preserved through GCL encoding; a theorem-relevant invariant preserved through refactor.</w:t>
            </w:r>
          </w:p>
        </w:tc>
      </w:tr>
      <w:tr>
        <w:tc>
          <w:tcPr>
            <w:tcW w:type="dxa" w:w="2045"/>
            <w:vAlign w:val="top"/>
          </w:tcPr>
          <w:p>
            <w:r/>
            <w:r>
              <w:rPr>
                <w:b/>
                <w:sz w:val="18"/>
              </w:rPr>
              <w:t>Gamma</w:t>
            </w:r>
          </w:p>
        </w:tc>
        <w:tc>
          <w:tcPr>
            <w:tcW w:type="dxa" w:w="2045"/>
            <w:vAlign w:val="top"/>
          </w:tcPr>
          <w:p>
            <w:r/>
            <w:r>
              <w:rPr>
                <w:b w:val="0"/>
                <w:sz w:val="18"/>
              </w:rPr>
              <w:t>γ</w:t>
            </w:r>
          </w:p>
        </w:tc>
        <w:tc>
          <w:tcPr>
            <w:tcW w:type="dxa" w:w="2045"/>
            <w:vAlign w:val="top"/>
          </w:tcPr>
          <w:p>
            <w:r/>
            <w:r>
              <w:rPr>
                <w:b w:val="0"/>
                <w:sz w:val="18"/>
              </w:rPr>
              <w:t>Compression pressure</w:t>
            </w:r>
          </w:p>
        </w:tc>
        <w:tc>
          <w:tcPr>
            <w:tcW w:type="dxa" w:w="2045"/>
            <w:vAlign w:val="top"/>
          </w:tcPr>
          <w:p>
            <w:r/>
            <w:r>
              <w:rPr>
                <w:b w:val="0"/>
                <w:sz w:val="18"/>
              </w:rPr>
              <w:t>How hard the system forces collapse, abstraction, recoding, summarization, normalization, or gain. Higher gamma means stronger pressure to shrink, merge, generalize, or accelerate.</w:t>
            </w:r>
          </w:p>
        </w:tc>
        <w:tc>
          <w:tcPr>
            <w:tcW w:type="dxa" w:w="2045"/>
            <w:vAlign w:val="top"/>
          </w:tcPr>
          <w:p>
            <w:r/>
            <w:r>
              <w:rPr>
                <w:b w:val="0"/>
                <w:sz w:val="18"/>
              </w:rPr>
              <w:t>More aggressive summarization; stronger model collapse; tighter byte budget; higher abstraction pressure.</w:t>
            </w:r>
          </w:p>
        </w:tc>
      </w:tr>
      <w:tr>
        <w:tc>
          <w:tcPr>
            <w:tcW w:type="dxa" w:w="2045"/>
            <w:vAlign w:val="top"/>
          </w:tcPr>
          <w:p>
            <w:r/>
            <w:r>
              <w:rPr>
                <w:b/>
                <w:sz w:val="18"/>
              </w:rPr>
              <w:t>Lambda</w:t>
            </w:r>
          </w:p>
        </w:tc>
        <w:tc>
          <w:tcPr>
            <w:tcW w:type="dxa" w:w="2045"/>
            <w:vAlign w:val="top"/>
          </w:tcPr>
          <w:p>
            <w:r/>
            <w:r>
              <w:rPr>
                <w:b w:val="0"/>
                <w:sz w:val="18"/>
              </w:rPr>
              <w:t>λ</w:t>
            </w:r>
          </w:p>
        </w:tc>
        <w:tc>
          <w:tcPr>
            <w:tcW w:type="dxa" w:w="2045"/>
            <w:vAlign w:val="top"/>
          </w:tcPr>
          <w:p>
            <w:r/>
            <w:r>
              <w:rPr>
                <w:b w:val="0"/>
                <w:sz w:val="18"/>
              </w:rPr>
              <w:t>Scale band</w:t>
            </w:r>
          </w:p>
        </w:tc>
        <w:tc>
          <w:tcPr>
            <w:tcW w:type="dxa" w:w="2045"/>
            <w:vAlign w:val="top"/>
          </w:tcPr>
          <w:p>
            <w:r/>
            <w:r>
              <w:rPr>
                <w:b w:val="0"/>
                <w:sz w:val="18"/>
              </w:rPr>
              <w:t>The scale at which the comparison is being made: byte span, chunk size, code length, wavelength, abstraction depth, temporal window, or surface resolution.</w:t>
            </w:r>
          </w:p>
        </w:tc>
        <w:tc>
          <w:tcPr>
            <w:tcW w:type="dxa" w:w="2045"/>
            <w:vAlign w:val="top"/>
          </w:tcPr>
          <w:p>
            <w:r/>
            <w:r>
              <w:rPr>
                <w:b w:val="0"/>
                <w:sz w:val="18"/>
              </w:rPr>
              <w:t>A 4 KB chunk, a function-level code unit, a page-level document summary, a surface cell, or a full repository pass.</w:t>
            </w:r>
          </w:p>
        </w:tc>
      </w:tr>
    </w:tbl>
    <w:p>
      <w:pPr>
        <w:pStyle w:val="CodeBlock"/>
      </w:pPr>
      <w:r>
        <w:rPr>
          <w:rFonts w:ascii="Consolas" w:hAnsi="Consolas" w:eastAsia="Consolas"/>
          <w:sz w:val="17"/>
        </w:rPr>
        <w:t>Delta-Phi-Gamma-Lambda question:</w:t>
        <w:br/>
        <w:t xml:space="preserve">  At scale lambda, under compression pressure gamma, how much invariant phi changed, and what delta residue must be recorded?</w:t>
      </w:r>
    </w:p>
    <w:p>
      <w:r>
        <w:t>Operationally, the stack should not ask only “did the representation get smaller?” It should ask whether phi survived, whether delta stayed bounded, whether gamma was appropriate for the task, whether lambda was declared, and whether failures were receipted.</w:t>
      </w:r>
    </w:p>
    <w:p>
      <w:pPr>
        <w:pStyle w:val="Heading1"/>
      </w:pPr>
      <w:r>
        <w:t>7. Controlled degeneracy and alias discipline</w:t>
      </w:r>
    </w:p>
    <w:p>
      <w:r>
        <w:t>Biological coding demonstrates a useful architectural lesson: not every useful encoding needs perfect one-to-one uniqueness. Multiple encodings may express the same stable output, provided the system distinguishes lawful aliases from incompatible collapses.</w:t>
      </w:r>
    </w:p>
    <w:p>
      <w:r>
        <w:t>For conceptual bindings, this becomes alias discipline. Aliases are allowed when they preserve the same invariant, declare the same authority boundary, and provide a reverse path back to source evidence or a repair route. Aliases are blocked when they hide incompatible meanings under one label.</w:t>
      </w:r>
    </w:p>
    <w:p>
      <w:pPr>
        <w:pStyle w:val="CodeBlock"/>
      </w:pPr>
      <w:r>
        <w:rPr>
          <w:rFonts w:ascii="Consolas" w:hAnsi="Consolas" w:eastAsia="Consolas"/>
          <w:sz w:val="17"/>
        </w:rPr>
        <w:t>Allowed alias:</w:t>
        <w:br/>
        <w:t xml:space="preserve">  different names or encodings</w:t>
        <w:br/>
        <w:t xml:space="preserve">    -&gt; same invariant phi</w:t>
        <w:br/>
        <w:t xml:space="preserve">    -&gt; same authority boundary</w:t>
        <w:br/>
        <w:t xml:space="preserve">    -&gt; reverse-collapse or repair path exists</w:t>
        <w:br/>
        <w:t xml:space="preserve">    -&gt; receipt records the alias rule</w:t>
        <w:br/>
        <w:br/>
        <w:t>Blocked alias:</w:t>
        <w:br/>
        <w:t xml:space="preserve">  different names or encodings</w:t>
        <w:br/>
        <w:t xml:space="preserve">    -&gt; incompatible meanings</w:t>
        <w:br/>
        <w:t xml:space="preserve">    -&gt; no recovery path</w:t>
        <w:br/>
        <w:t xml:space="preserve">    -&gt; no receipt</w:t>
        <w:br/>
        <w:t xml:space="preserve">    -&gt; Warden emits alias_boundary_blur</w:t>
      </w:r>
    </w:p>
    <w:p>
      <w:pPr>
        <w:pStyle w:val="Heading1"/>
      </w:pPr>
      <w:r>
        <w:t>8. Surface projection is an audit, not decoration</w:t>
      </w:r>
    </w:p>
    <w:p>
      <w:r>
        <w:t>Surfaces are useful because they make bindings inspectable: ridges, holes, basins, seams, contours, thresholds, and ruptures can reveal how an abstraction behaves. But a surface remains a phenotype. It does not become proof merely because it is visible, elegant, or central in a graph.</w:t>
      </w:r>
    </w:p>
    <w:p>
      <w:pPr>
        <w:pStyle w:val="CodeBlock"/>
      </w:pPr>
      <w:r>
        <w:rPr>
          <w:rFonts w:ascii="Consolas" w:hAnsi="Consolas" w:eastAsia="Consolas"/>
          <w:sz w:val="17"/>
        </w:rPr>
        <w:t>GCL object</w:t>
        <w:br/>
        <w:t xml:space="preserve">  -&gt; Mass Number packet</w:t>
        <w:br/>
        <w:t xml:space="preserve">  -&gt; surface projection</w:t>
        <w:br/>
        <w:t xml:space="preserve">  -&gt; probe / measurement / receipt</w:t>
        <w:br/>
        <w:t xml:space="preserve">  -&gt; Warden status</w:t>
      </w:r>
    </w:p>
    <w:p>
      <w:pPr>
        <w:pStyle w:val="ListBullet"/>
      </w:pPr>
      <w:r>
        <w:t>Projection != proof.</w:t>
      </w:r>
    </w:p>
    <w:p>
      <w:pPr>
        <w:pStyle w:val="ListBullet"/>
      </w:pPr>
      <w:r>
        <w:t>Phenotype != genotype.</w:t>
      </w:r>
    </w:p>
    <w:p>
      <w:pPr>
        <w:pStyle w:val="ListBullet"/>
      </w:pPr>
      <w:r>
        <w:t>Visual centrality != truth.</w:t>
      </w:r>
    </w:p>
    <w:p>
      <w:pPr>
        <w:pStyle w:val="ListBullet"/>
      </w:pPr>
      <w:r>
        <w:t>Simulation convergence != theorem.</w:t>
      </w:r>
    </w:p>
    <w:p>
      <w:pPr>
        <w:pStyle w:val="ListBullet"/>
      </w:pPr>
      <w:r>
        <w:t>LLM agreement != validation.</w:t>
      </w:r>
    </w:p>
    <w:p>
      <w:pPr>
        <w:pStyle w:val="ListBullet"/>
      </w:pPr>
      <w:r>
        <w:t>No surface, no promotion for recursive abstraction fields.</w:t>
      </w:r>
    </w:p>
    <w:p>
      <w:pPr>
        <w:pStyle w:val="Heading1"/>
      </w:pPr>
      <w:r>
        <w:t>9. Reverse collapse and recursion safety</w:t>
      </w:r>
    </w:p>
    <w:p>
      <w:r>
        <w:t>A Mass Number or GCL object can compress a concept so aggressively that the abstraction starts explaining itself. That is useful only if it can unfold back to a concrete anchor.</w:t>
      </w:r>
    </w:p>
    <w:p>
      <w:pPr>
        <w:pStyle w:val="CodeBlock"/>
      </w:pPr>
      <w:r>
        <w:rPr>
          <w:rFonts w:ascii="Consolas" w:hAnsi="Consolas" w:eastAsia="Consolas"/>
          <w:sz w:val="17"/>
        </w:rPr>
        <w:t>Forward path:</w:t>
        <w:br/>
        <w:t xml:space="preserve">  raw object</w:t>
        <w:br/>
        <w:t xml:space="preserve">    -&gt; Mass Number</w:t>
        <w:br/>
        <w:t xml:space="preserve">    -&gt; Surface</w:t>
        <w:br/>
        <w:t xml:space="preserve">    -&gt; higher abstraction</w:t>
        <w:br/>
        <w:br/>
        <w:t>Reverse-collapse path:</w:t>
        <w:br/>
        <w:t xml:space="preserve">  higher abstraction</w:t>
        <w:br/>
        <w:t xml:space="preserve">    -&gt; Surface feature</w:t>
        <w:br/>
        <w:t xml:space="preserve">    -&gt; Mass Number field</w:t>
        <w:br/>
        <w:t xml:space="preserve">    -&gt; concrete object / example / invariant / test</w:t>
      </w:r>
    </w:p>
    <w:p>
      <w:r>
        <w:t>If reverse collapse fails, the binding remains HOLD. The failure should be recorded as Underverse residue rather than allowed to circulate as an active field.</w:t>
      </w:r>
    </w:p>
    <w:p>
      <w:pPr>
        <w:pStyle w:val="Heading1"/>
      </w:pPr>
      <w:r>
        <w:t>10. Authority states and promotion</w:t>
      </w:r>
    </w:p>
    <w:p>
      <w:r>
        <w:t>GCL separates existence from authority. A GCL object exists so it can be inherited, mutated, traced, repaired, projected, or quarantined. It does not become true merely because it exists.</w:t>
      </w:r>
    </w:p>
    <w:p>
      <w:pPr>
        <w:pStyle w:val="ListBullet"/>
      </w:pPr>
      <w:r>
        <w:t>U_scope: exploratory or unscoped.</w:t>
      </w:r>
    </w:p>
    <w:p>
      <w:pPr>
        <w:pStyle w:val="ListBullet"/>
      </w:pPr>
      <w:r>
        <w:t>HOLD: important but unresolved; preserve but do not promote.</w:t>
      </w:r>
    </w:p>
    <w:p>
      <w:pPr>
        <w:pStyle w:val="ListBullet"/>
      </w:pPr>
      <w:r>
        <w:t>V_scope: valid only under a declared local scope.</w:t>
      </w:r>
    </w:p>
    <w:p>
      <w:pPr>
        <w:pStyle w:val="ListBullet"/>
      </w:pPr>
      <w:r>
        <w:t>REVIEWED: review or audit receipts exist.</w:t>
      </w:r>
    </w:p>
    <w:p>
      <w:pPr>
        <w:pStyle w:val="ListBullet"/>
      </w:pPr>
      <w:r>
        <w:t>CANONICAL_LEAN: formal artifact exists and builds without hidden gaps.</w:t>
      </w:r>
    </w:p>
    <w:p>
      <w:pPr>
        <w:pStyle w:val="ListBullet"/>
      </w:pPr>
      <w:r>
        <w:t>QUARANTINE: unsafe, misleading, overbroad, or category-confused.</w:t>
      </w:r>
    </w:p>
    <w:p>
      <w:pPr>
        <w:pStyle w:val="Heading1"/>
      </w:pPr>
      <w:r>
        <w:t>11. Minimal implementation target</w:t>
      </w:r>
    </w:p>
    <w:p>
      <w:r>
        <w:t>The first executable implementation should stay small. It should validate the shared surface without pretending to encode every regime at once.</w:t>
      </w:r>
    </w:p>
    <w:p>
      <w:pPr>
        <w:pStyle w:val="CodeBlock"/>
      </w:pPr>
      <w:r>
        <w:rPr>
          <w:rFonts w:ascii="Consolas" w:hAnsi="Consolas" w:eastAsia="Consolas"/>
          <w:sz w:val="17"/>
        </w:rPr>
        <w:t>Phase 1:</w:t>
        <w:br/>
        <w:t xml:space="preserve">  Stack-native GCL object validator</w:t>
        <w:br/>
        <w:br/>
        <w:t>Phase 2:</w:t>
        <w:br/>
        <w:t xml:space="preserve">  Alias discipline and provenance validator</w:t>
        <w:br/>
        <w:br/>
        <w:t>Phase 3:</w:t>
        <w:br/>
        <w:t xml:space="preserve">  Algorithmic-GCL AST observation packet validator</w:t>
        <w:br/>
        <w:br/>
        <w:t>Phase 4:</w:t>
        <w:br/>
        <w:t xml:space="preserve">  Bio-GCL as external-source / analogy-bounded objects only</w:t>
      </w:r>
    </w:p>
    <w:p>
      <w:pPr>
        <w:pStyle w:val="Heading1"/>
      </w:pPr>
      <w:r>
        <w:t>12. Warden rules for the combined surface</w:t>
      </w:r>
    </w:p>
    <w:p>
      <w:pPr>
        <w:pStyle w:val="ListBullet"/>
      </w:pPr>
      <w:r>
        <w:t>If a biological analogy is written as biological evidence without external receipts, emit bio_overclaim and block promotion.</w:t>
      </w:r>
    </w:p>
    <w:p>
      <w:pPr>
        <w:pStyle w:val="ListBullet"/>
      </w:pPr>
      <w:r>
        <w:t>If two aliases collapse distinct meanings without provenance or a recovery path, emit alias_boundary_blur and block promotion.</w:t>
      </w:r>
    </w:p>
    <w:p>
      <w:pPr>
        <w:pStyle w:val="ListBullet"/>
      </w:pPr>
      <w:r>
        <w:t>If a projection is used as proof, emit projection_proof_confusion and block promotion.</w:t>
      </w:r>
    </w:p>
    <w:p>
      <w:pPr>
        <w:pStyle w:val="ListBullet"/>
      </w:pPr>
      <w:r>
        <w:t>If an algorithmic collapse lacks behavior-preserving tests, mark HOLD and require TestReceipt.</w:t>
      </w:r>
    </w:p>
    <w:p>
      <w:pPr>
        <w:pStyle w:val="ListBullet"/>
      </w:pPr>
      <w:r>
        <w:t>If recursive abstraction lacks a reverse-collapse target, emit recursive_abstraction_without_ground and block promotion.</w:t>
      </w:r>
    </w:p>
    <w:p>
      <w:pPr>
        <w:pStyle w:val="ListBullet"/>
      </w:pPr>
      <w:r>
        <w:t>If canonical computation uses floats in a fixed-point hot path, emit fixed_point_violation and block promotion.</w:t>
      </w:r>
    </w:p>
    <w:p>
      <w:pPr>
        <w:pStyle w:val="Heading1"/>
      </w:pPr>
      <w:r>
        <w:t>13. Working object template</w:t>
      </w:r>
    </w:p>
    <w:p>
      <w:pPr>
        <w:pStyle w:val="CodeBlock"/>
      </w:pPr>
      <w:r>
        <w:rPr>
          <w:rFonts w:ascii="Consolas" w:hAnsi="Consolas" w:eastAsia="Consolas"/>
          <w:sz w:val="17"/>
        </w:rPr>
        <w:t>CombinedGCLCodingObject = {</w:t>
        <w:br/>
        <w:t xml:space="preserve">  gcl_id,</w:t>
        <w:br/>
        <w:t xml:space="preserve">  preferred_name,</w:t>
        <w:br/>
        <w:t xml:space="preserve">  aliases,</w:t>
        <w:br/>
        <w:t xml:space="preserve">  coding_variant,</w:t>
        <w:br/>
        <w:t xml:space="preserve">  kind,</w:t>
        <w:br/>
        <w:t xml:space="preserve">  claim_state,</w:t>
        <w:br/>
        <w:t xml:space="preserve">  authority_scope,</w:t>
        <w:br/>
        <w:t xml:space="preserve">  definition,</w:t>
        <w:br/>
        <w:t xml:space="preserve">  genotype,</w:t>
        <w:br/>
        <w:t xml:space="preserve">  expression,</w:t>
        <w:br/>
        <w:t xml:space="preserve">  expansion_slots,</w:t>
        <w:br/>
        <w:t xml:space="preserve">  gates,</w:t>
        <w:br/>
        <w:t xml:space="preserve">  receipts,</w:t>
        <w:br/>
        <w:t xml:space="preserve">  projections,</w:t>
        <w:br/>
        <w:t xml:space="preserve">  mutation_history,</w:t>
        <w:br/>
        <w:t xml:space="preserve">  repair_paths,</w:t>
        <w:br/>
        <w:t xml:space="preserve">  blocked_usages</w:t>
        <w:br/>
        <w:t>}</w:t>
      </w:r>
    </w:p>
    <w:p>
      <w:pPr>
        <w:pStyle w:val="Heading1"/>
      </w:pPr>
      <w:r>
        <w:t>14. Source document anchors</w:t>
      </w:r>
    </w:p>
    <w:p>
      <w:r>
        <w:t>This export consolidates the current GCL approach from the following Research Stack documents and working doctrines:</w:t>
      </w:r>
    </w:p>
    <w:p>
      <w:pPr>
        <w:pStyle w:val="ListBullet"/>
      </w:pPr>
      <w:r>
        <w:t>docs/gcl/GCLCompleteSurface.md</w:t>
      </w:r>
    </w:p>
    <w:p>
      <w:pPr>
        <w:pStyle w:val="ListBullet"/>
      </w:pPr>
      <w:r>
        <w:t>docs/gcl/GCLCombinedCodingSurface.md</w:t>
      </w:r>
    </w:p>
    <w:p>
      <w:pPr>
        <w:pStyle w:val="ListBullet"/>
      </w:pPr>
      <w:r>
        <w:t>docs/gcl/MassNumberGCLSubset.md</w:t>
      </w:r>
    </w:p>
    <w:p>
      <w:pPr>
        <w:pStyle w:val="ListBullet"/>
      </w:pPr>
      <w:r>
        <w:t>docs/gcl/CompressionDeltaPhiGammaLambdaDoctrine.md</w:t>
      </w:r>
    </w:p>
    <w:p>
      <w:pPr>
        <w:pStyle w:val="ListBullet"/>
      </w:pPr>
      <w:r>
        <w:t>docs/gcl/MassNumberSurfaceTranslation.md</w:t>
      </w:r>
    </w:p>
    <w:p>
      <w:pPr>
        <w:pStyle w:val="ListBullet"/>
      </w:pPr>
      <w:r>
        <w:t>docs/gcl/MassNumberRecursionWarning.md</w:t>
      </w:r>
    </w:p>
    <w:p>
      <w:pPr>
        <w:pStyle w:val="ListBullet"/>
      </w:pPr>
      <w:r>
        <w:t>docs/gcl/EquationForestActiveKernels.md</w:t>
      </w:r>
    </w:p>
    <w:p>
      <w:pPr>
        <w:pStyle w:val="ListBullet"/>
      </w:pPr>
      <w:r>
        <w:t>docs/wiki/NotationNomenclatureRegistry.md</w:t>
      </w:r>
    </w:p>
    <w:p>
      <w:pPr>
        <w:pStyle w:val="Heading1"/>
      </w:pPr>
      <w:r>
        <w:t>15. Compact doctrine</w:t>
      </w:r>
    </w:p>
    <w:p>
      <w:pPr>
        <w:pStyle w:val="CodeBlock"/>
      </w:pPr>
      <w:r>
        <w:rPr>
          <w:rFonts w:ascii="Consolas" w:hAnsi="Consolas" w:eastAsia="Consolas"/>
          <w:sz w:val="17"/>
        </w:rPr>
        <w:t>GCL unifies coding surfaces, not truth claims.</w:t>
        <w:br/>
        <w:br/>
        <w:t>Every conceptual binding must declare its unit, expression, mutation, repair, gate, projection, and receipt. Delta-Phi-Gamma-Lambda asks what invariant survived, under what pressure, at what scale, and what residue was recorded.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GCL Surface and Conceptual Binding Approach — HOLD / workbench synthesis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