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GCL Surface and Conceptual Binding Approach</w:t>
      </w:r>
    </w:p>
    <w:p>
      <w:pPr>
        <w:pStyle w:val="Subtitle"/>
        <w:jc w:val="center"/>
      </w:pPr>
      <w:r>
        <w:t>A workbench document for mapping conceptual bindings onto a typed, receipted Genetic Coding Language surface</w:t>
      </w:r>
    </w:p>
    <w:p>
      <w:r>
        <w:t>Status: HOLD / workbench synthesis, not formal proof</w:t>
      </w:r>
    </w:p>
    <w:p>
      <w:pPr>
        <w:pStyle w:val="Heading1"/>
      </w:pPr>
      <w:r>
        <w:t>1. Purpose</w:t>
      </w:r>
    </w:p>
    <w:p>
      <w:r>
        <w:t>This document exports the current approach to conceptual bindings in the Research Stack. It explains how GCL acts as a combined surface for biological genetic coding, synthetic genetic coding, stack-native conceptual coding, algorithmic source-code coding, Mass Number bindings, surface projections, and Warden-gated receipts.</w:t>
      </w:r>
    </w:p>
    <w:p>
      <w:r>
        <w:t>The goal is not to collapse every code into the same ontology. The goal is to give each coding regime a shared comparison surface while preserving its authority boundary, validation route, and failure mode.</w:t>
      </w:r>
    </w:p>
    <w:p>
      <w:pPr>
        <w:pStyle w:val="CodeBlock"/>
      </w:pPr>
      <w:r>
        <w:rPr>
          <w:rFonts w:ascii="Consolas" w:hAnsi="Consolas" w:eastAsia="Consolas"/>
          <w:sz w:val="17"/>
        </w:rPr>
        <w:t>coding variant</w:t>
        <w:br/>
        <w:t xml:space="preserve">  -&gt; GCL genotype slots</w:t>
        <w:br/>
        <w:t xml:space="preserve">  -&gt; expressed phenotype</w:t>
        <w:br/>
        <w:t xml:space="preserve">  -&gt; admissibility / closure gates</w:t>
        <w:br/>
        <w:t xml:space="preserve">  -&gt; projection surface</w:t>
        <w:br/>
        <w:t xml:space="preserve">  -&gt; receipt target</w:t>
      </w:r>
    </w:p>
    <w:p>
      <w:pPr>
        <w:pStyle w:val="Heading1"/>
      </w:pPr>
      <w:r>
        <w:t>2. Core thesis</w:t>
      </w:r>
    </w:p>
    <w:p>
      <w:r>
        <w:t>A conceptual binding is a controlled encoding of an idea into a typed unit that can be expressed, mutated, recombined, projected, gated, repaired, and receipted. GCL provides the host grammar for those bindings.</w:t>
      </w:r>
    </w:p>
    <w:p>
      <w:pPr>
        <w:pStyle w:val="CodeBlock"/>
      </w:pPr>
      <w:r>
        <w:rPr>
          <w:rFonts w:ascii="Consolas" w:hAnsi="Consolas" w:eastAsia="Consolas"/>
          <w:sz w:val="17"/>
        </w:rPr>
        <w:t>intuition</w:t>
        <w:br/>
        <w:t xml:space="preserve">  -&gt; encoded concept genome</w:t>
        <w:br/>
        <w:t xml:space="preserve">  -&gt; expansion slots</w:t>
        <w:br/>
        <w:t xml:space="preserve">  -&gt; admissibility gates</w:t>
        <w:br/>
        <w:t xml:space="preserve">  -&gt; receipts</w:t>
        <w:br/>
        <w:t xml:space="preserve">  -&gt; projections</w:t>
        <w:br/>
        <w:t xml:space="preserve">  -&gt; formalization targets</w:t>
      </w:r>
    </w:p>
    <w:p>
      <w:r>
        <w:t>In compression terms, GCL exists to preserve invariant structure, bound residual distortion, control compression pressure, choose a scale, and record what fails.</w:t>
      </w:r>
    </w:p>
    <w:p>
      <w:pPr>
        <w:pStyle w:val="Heading1"/>
      </w:pPr>
      <w:r>
        <w:t>3. Key terms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Term</w:t>
            </w:r>
          </w:p>
        </w:tc>
        <w:tc>
          <w:tcPr>
            <w:tcW w:type="dxa" w:w="5112"/>
            <w:shd w:fill="D9EAF7"/>
          </w:tcPr>
          <w:p>
            <w:r/>
            <w:r>
              <w:rPr>
                <w:b/>
                <w:sz w:val="18"/>
              </w:rPr>
              <w:t>Definition</w:t>
            </w:r>
          </w:p>
        </w:tc>
      </w:tr>
      <w:tr>
        <w:tc>
          <w:tcPr>
            <w:tcW w:type="dxa" w:w="5112"/>
          </w:tcPr>
          <w:p>
            <w:r/>
            <w:r>
              <w:rPr>
                <w:b/>
                <w:sz w:val="18"/>
              </w:rPr>
              <w:t>GCL</w:t>
            </w:r>
          </w:p>
        </w:tc>
        <w:tc>
          <w:tcPr>
            <w:tcW w:type="dxa" w:w="5112"/>
          </w:tcPr>
          <w:p>
            <w:r/>
            <w:r>
              <w:rPr>
                <w:b w:val="0"/>
                <w:sz w:val="18"/>
              </w:rPr>
              <w:t>Genetic Coding Language. A host grammar for encoding research objects as typed, mutable, receipt-gated units.</w:t>
            </w:r>
          </w:p>
        </w:tc>
      </w:tr>
      <w:tr>
        <w:tc>
          <w:tcPr>
            <w:tcW w:type="dxa" w:w="5112"/>
          </w:tcPr>
          <w:p>
            <w:r/>
            <w:r>
              <w:rPr>
                <w:b/>
                <w:sz w:val="18"/>
              </w:rPr>
              <w:t>Conceptual binding</w:t>
            </w:r>
          </w:p>
        </w:tc>
        <w:tc>
          <w:tcPr>
            <w:tcW w:type="dxa" w:w="5112"/>
          </w:tcPr>
          <w:p>
            <w:r/>
            <w:r>
              <w:rPr>
                <w:b w:val="0"/>
                <w:sz w:val="18"/>
              </w:rPr>
              <w:t>A typed commitment that maps an intuition or object into a GCL unit with declared expression, mutation, repair, gates, projections, and receipts.</w:t>
            </w:r>
          </w:p>
        </w:tc>
      </w:tr>
      <w:tr>
        <w:tc>
          <w:tcPr>
            <w:tcW w:type="dxa" w:w="5112"/>
          </w:tcPr>
          <w:p>
            <w:r/>
            <w:r>
              <w:rPr>
                <w:b/>
                <w:sz w:val="18"/>
              </w:rPr>
              <w:t>Genotype</w:t>
            </w:r>
          </w:p>
        </w:tc>
        <w:tc>
          <w:tcPr>
            <w:tcW w:type="dxa" w:w="5112"/>
          </w:tcPr>
          <w:p>
            <w:r/>
            <w:r>
              <w:rPr>
                <w:b w:val="0"/>
                <w:sz w:val="18"/>
              </w:rPr>
              <w:t>The internal encoded structure: symbols, codon-like slots, constraints, mutation rules, repair rules, and admissibility requirements.</w:t>
            </w:r>
          </w:p>
        </w:tc>
      </w:tr>
      <w:tr>
        <w:tc>
          <w:tcPr>
            <w:tcW w:type="dxa" w:w="5112"/>
          </w:tcPr>
          <w:p>
            <w:r/>
            <w:r>
              <w:rPr>
                <w:b/>
                <w:sz w:val="18"/>
              </w:rPr>
              <w:t>Phenotype</w:t>
            </w:r>
          </w:p>
        </w:tc>
        <w:tc>
          <w:tcPr>
            <w:tcW w:type="dxa" w:w="5112"/>
          </w:tcPr>
          <w:p>
            <w:r/>
            <w:r>
              <w:rPr>
                <w:b w:val="0"/>
                <w:sz w:val="18"/>
              </w:rPr>
              <w:t>The outward expression or projection: a wiki page, graph node, diagram, simulator behavior, theorem target, or rendered surface.</w:t>
            </w:r>
          </w:p>
        </w:tc>
      </w:tr>
      <w:tr>
        <w:tc>
          <w:tcPr>
            <w:tcW w:type="dxa" w:w="5112"/>
          </w:tcPr>
          <w:p>
            <w:r/>
            <w:r>
              <w:rPr>
                <w:b/>
                <w:sz w:val="18"/>
              </w:rPr>
              <w:t>Receipt</w:t>
            </w:r>
          </w:p>
        </w:tc>
        <w:tc>
          <w:tcPr>
            <w:tcW w:type="dxa" w:w="5112"/>
          </w:tcPr>
          <w:p>
            <w:r/>
            <w:r>
              <w:rPr>
                <w:b w:val="0"/>
                <w:sz w:val="18"/>
              </w:rPr>
              <w:t>An evidence object or audit artifact: theorem, build result, benchmark, measurement, source audit, dataset row, simulation trace, or safety gate pass.</w:t>
            </w:r>
          </w:p>
        </w:tc>
      </w:tr>
      <w:tr>
        <w:tc>
          <w:tcPr>
            <w:tcW w:type="dxa" w:w="5112"/>
          </w:tcPr>
          <w:p>
            <w:r/>
            <w:r>
              <w:rPr>
                <w:b/>
                <w:sz w:val="18"/>
              </w:rPr>
              <w:t>Warden</w:t>
            </w:r>
          </w:p>
        </w:tc>
        <w:tc>
          <w:tcPr>
            <w:tcW w:type="dxa" w:w="5112"/>
          </w:tcPr>
          <w:p>
            <w:r/>
            <w:r>
              <w:rPr>
                <w:b w:val="0"/>
                <w:sz w:val="18"/>
              </w:rPr>
              <w:t>The promotion gate that blocks overclaims, missing receipts, projection/proof confusion, recursion failures, and fixed-point violations.</w:t>
            </w:r>
          </w:p>
        </w:tc>
      </w:tr>
      <w:tr>
        <w:tc>
          <w:tcPr>
            <w:tcW w:type="dxa" w:w="5112"/>
            <w:vAlign w:val="top"/>
          </w:tcPr>
          <w:p>
            <w:r/>
            <w:r>
              <w:rPr>
                <w:rFonts w:ascii="Arial" w:hAnsi="Arial" w:eastAsia="Arial"/>
                <w:b/>
                <w:sz w:val="18"/>
              </w:rPr>
              <w:t>Goxel</w:t>
            </w:r>
          </w:p>
        </w:tc>
        <w:tc>
          <w:tcPr>
            <w:tcW w:type="dxa" w:w="5112"/>
            <w:vAlign w:val="top"/>
          </w:tcPr>
          <w:p>
            <w:r/>
            <w:r>
              <w:rPr>
                <w:rFonts w:ascii="Arial" w:hAnsi="Arial" w:eastAsia="Arial"/>
                <w:b w:val="0"/>
                <w:sz w:val="18"/>
              </w:rPr>
              <w:t>A pre-compressed, shape-agnostic geometry primitive. It represents unresolved geometric possibility before a projection or compression rule commits it to a surface or cell.</w:t>
            </w:r>
          </w:p>
        </w:tc>
      </w:tr>
      <w:tr>
        <w:tc>
          <w:tcPr>
            <w:tcW w:type="dxa" w:w="5112"/>
            <w:vAlign w:val="top"/>
          </w:tcPr>
          <w:p>
            <w:r/>
            <w:r>
              <w:rPr>
                <w:rFonts w:ascii="Arial" w:hAnsi="Arial" w:eastAsia="Arial"/>
                <w:b/>
                <w:sz w:val="18"/>
              </w:rPr>
              <w:t>Voxel</w:t>
            </w:r>
          </w:p>
        </w:tc>
        <w:tc>
          <w:tcPr>
            <w:tcW w:type="dxa" w:w="5112"/>
            <w:vAlign w:val="top"/>
          </w:tcPr>
          <w:p>
            <w:r/>
            <w:r>
              <w:rPr>
                <w:rFonts w:ascii="Arial" w:hAnsi="Arial" w:eastAsia="Arial"/>
                <w:b w:val="0"/>
                <w:sz w:val="18"/>
              </w:rPr>
              <w:t>A conventional three-dimensional cell representation. In this document it is used only when the geometry is specifically 3D.</w:t>
            </w:r>
          </w:p>
        </w:tc>
      </w:tr>
      <w:tr>
        <w:tc>
          <w:tcPr>
            <w:tcW w:type="dxa" w:w="5112"/>
            <w:vAlign w:val="top"/>
          </w:tcPr>
          <w:p>
            <w:r/>
            <w:r>
              <w:rPr>
                <w:rFonts w:ascii="Arial" w:hAnsi="Arial" w:eastAsia="Arial"/>
                <w:b/>
                <w:sz w:val="18"/>
              </w:rPr>
              <w:t>n-voxel</w:t>
            </w:r>
          </w:p>
        </w:tc>
        <w:tc>
          <w:tcPr>
            <w:tcW w:type="dxa" w:w="5112"/>
            <w:vAlign w:val="top"/>
          </w:tcPr>
          <w:p>
            <w:r/>
            <w:r>
              <w:rPr>
                <w:rFonts w:ascii="Arial" w:hAnsi="Arial" w:eastAsia="Arial"/>
                <w:b w:val="0"/>
                <w:sz w:val="18"/>
              </w:rPr>
              <w:t>A dimension-parameterized voxel-like cell. It represents compressed or partially compressed geometry in an n-dimensional manifold or coding surface.</w:t>
            </w:r>
          </w:p>
        </w:tc>
      </w:tr>
    </w:tbl>
    <w:p>
      <w:pPr>
        <w:pStyle w:val="Heading1"/>
      </w:pPr>
      <w:r>
        <w:t>4. The combined GCL surface</w:t>
      </w:r>
    </w:p>
    <w:p>
      <w:r>
        <w:t>The combined surface is where multiple coding regimes can be compared through the same operations: encode, express, mutate, recombine, repair, gate, project, and receipt. The surface does not make those regimes ontologically identical; it only gives them a shared inspection grammar.</w:t>
      </w:r>
    </w:p>
    <w:p>
      <w:pPr>
        <w:pStyle w:val="ListBullet"/>
      </w:pPr>
      <w:r>
        <w:t>Biological and synthetic codes contribute controlled degeneracy, mutation tolerance, repair, and expression boundaries.</w:t>
      </w:r>
    </w:p>
    <w:p>
      <w:pPr>
        <w:pStyle w:val="ListBullet"/>
      </w:pPr>
      <w:r>
        <w:t>Stack-native GCL contributes typed objects, slots, authority scopes, blocked usages, and receipts.</w:t>
      </w:r>
    </w:p>
    <w:p>
      <w:pPr>
        <w:pStyle w:val="ListBullet"/>
      </w:pPr>
      <w:r>
        <w:t>Mass Number bindings contribute invariant-focused compression and reverse-collapse requirements.</w:t>
      </w:r>
    </w:p>
    <w:p>
      <w:pPr>
        <w:pStyle w:val="ListBullet"/>
      </w:pPr>
      <w:r>
        <w:t>Algorithmic coding contributes executable behavior, tests, semantic equivalence checks, and refactor/collapse candidates.</w:t>
      </w:r>
    </w:p>
    <w:p>
      <w:pPr>
        <w:pStyle w:val="ListBullet"/>
      </w:pPr>
      <w:r>
        <w:t>Surface runtimes contribute inspectable projections while remaining phenotypes, not proof.</w:t>
      </w:r>
    </w:p>
    <w:p>
      <w:pPr>
        <w:pStyle w:val="Heading1"/>
      </w:pPr>
      <w:r>
        <w:t>5. Biological and synthetic coding as reference surfaces</w:t>
      </w:r>
    </w:p>
    <w:p>
      <w:r>
        <w:t>Biological and synthetic genetic coding are useful reference surfaces for GCL because they demonstrate disciplined encoding, expression, mutation, recombination, repair, and gating. They do not make GCL literal biology. They provide architectural pressure: if a concept language borrows the shape of genetic systems, it must also borrow their discipline around boundaries, expression context, error correction, and failed variants.</w:t>
      </w:r>
    </w:p>
    <w:p>
      <w:r>
        <w:t>The approach should be read as structural borrowing, not biological identity. A GCL object is not a gene, a Mass Number is not a molecule, and a conceptual phenotype is not a protein. The binding surface borrows the pattern of coding and expression so that research objects can be typed, mutated, repaired, projected, and receipted without being promoted by metaphor.</w:t>
      </w:r>
    </w:p>
    <w:p>
      <w:pPr>
        <w:pStyle w:val="CodeBlock"/>
      </w:pPr>
      <w:r>
        <w:t>Warden biological-overclaim warning:</w:t>
        <w:br/>
        <w:t xml:space="preserve">  biological systems are external reference surfaces for GCL</w:t>
        <w:br/>
        <w:t xml:space="preserve">  biological analogy != biological evidence</w:t>
        <w:br/>
        <w:t xml:space="preserve">  synthetic coding analogy != validation receipt</w:t>
        <w:br/>
        <w:t xml:space="preserve">  if a GCL claim uses biology-language as proof without sources, emit bio_overclaim</w:t>
        <w:br/>
        <w:t xml:space="preserve">  keep the object HOLD until external evidence, theorem support, or explicit scope exists</w:t>
      </w:r>
    </w:p>
    <w:p>
      <w:r>
        <w:t>The practical rule is simple: GCL may borrow from biology, but it must not hide behind biology. Every biological or synthetic coding analogy must declare its authority boundary, its external source status, and the exact feature being borrowed: alphabet size, codon degeneracy, reading frame, repair path, mutation tolerance, regulatory gate, or expression context.</w:t>
      </w:r>
    </w:p>
    <w:p>
      <w:pPr>
        <w:pStyle w:val="Heading2"/>
      </w:pPr>
      <w:r>
        <w:t>Delta-Phi-Gamma-Lambda tie-back</w:t>
      </w:r>
    </w:p>
    <w:p>
      <w:r>
        <w:t>Biological and synthetic coding make the Delta-Phi-Gamma-Lambda audit more concrete. Expanded alphabets, synthetic bases, alternate backbones, and engineered codons can increase coding capacity, but capacity is not the same as lawful compression. A larger alphabet may raise possible gamma pressure, but GCL still has to ask whether invariant phi survives at the chosen lambda scale and what delta residue appears after expression or projection.</w:t>
      </w:r>
    </w:p>
    <w:p>
      <w:pPr>
        <w:pStyle w:val="CodeBlock"/>
      </w:pPr>
      <w:r>
        <w:t>Delta-Phi-Gamma-Lambda biological/synthetic reading:</w:t>
        <w:br/>
        <w:t xml:space="preserve">  Delta  = mutation, drift, mistranslation, unsafe expression, or residual mismatch</w:t>
        <w:br/>
        <w:t xml:space="preserve">  Phi    = conserved function, invariant meaning, admissible structure, or preserved binding target</w:t>
        <w:br/>
        <w:t xml:space="preserve">  Gamma  = coding pressure: alphabet expansion, compression pressure, expression forcing, or optimization pressure</w:t>
        <w:br/>
        <w:t xml:space="preserve">  Lambda = scale band: nucleotide/base, codon, motif, gene, pathway, concept object, surface, or formal target</w:t>
      </w:r>
    </w:p>
    <w:p>
      <w:r>
        <w:t>Under this reading, a synthetic alphabet is not automatically better because it encodes more states. It is better only when the added coding capacity preserves phi, keeps delta bounded, respects the lambda scale, and produces receipts under the relevant gamma pressure.</w:t>
      </w:r>
    </w:p>
    <w:p>
      <w:pPr>
        <w:pStyle w:val="Heading1"/>
      </w:pPr>
      <w:r>
        <w:t>6. The conceptual binding lifecycle</w:t>
      </w:r>
    </w:p>
    <w:p>
      <w:r>
        <w:t>A binding starts as an intuition, but it only becomes operational when it declares a unit, expression, mutation rule, repair path, gate, projection surface, and receipt target.</w:t>
      </w:r>
    </w:p>
    <w:p>
      <w:pPr>
        <w:pStyle w:val="CodeBlock"/>
      </w:pPr>
      <w:r>
        <w:rPr>
          <w:rFonts w:ascii="Consolas" w:hAnsi="Consolas" w:eastAsia="Consolas"/>
          <w:sz w:val="17"/>
        </w:rPr>
        <w:t>RAW_INTUITION</w:t>
        <w:br/>
        <w:t xml:space="preserve">  -&gt; NAME_AND_ALIAS_CAPTURE</w:t>
        <w:br/>
        <w:t xml:space="preserve">  -&gt; GCL_OBJECT_ENCODING</w:t>
        <w:br/>
        <w:t xml:space="preserve">  -&gt; GENOTYPE_SLOT_FILL</w:t>
        <w:br/>
        <w:t xml:space="preserve">  -&gt; PHENOTYPE_EXPRESSION</w:t>
        <w:br/>
        <w:t xml:space="preserve">  -&gt; MASS_NUMBER_OR_SURFACE_BINDING</w:t>
        <w:br/>
        <w:t xml:space="preserve">  -&gt; ADMISSIBILITY_CHECK</w:t>
        <w:br/>
        <w:t xml:space="preserve">  -&gt; PROJECTION</w:t>
        <w:br/>
        <w:t xml:space="preserve">  -&gt; RECEIPT_OR_HOLD</w:t>
      </w:r>
    </w:p>
    <w:p>
      <w:r/>
    </w:p>
    <w:p>
      <w:pPr>
        <w:pStyle w:val="Heading1"/>
      </w:pPr>
      <w:r>
        <w:t>7. Compression interpretation: Delta-Phi-Gamma-Lambda</w:t>
      </w:r>
    </w:p>
    <w:p>
      <w:r>
        <w:t>Delta-Phi-Gamma-Lambda is the audit grammar used to ask whether a binding or compression preserved what mattered. It is not a claim that the four symbols already form a proven scalar metric. It becomes measurable only when each term is assigned a concrete extractor, threshold, or receipt.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D3"/>
            <w:vAlign w:val="top"/>
          </w:tcPr>
          <w:p>
            <w:r/>
            <w:r>
              <w:rPr>
                <w:b/>
                <w:sz w:val="18"/>
              </w:rPr>
              <w:t>Term</w:t>
            </w:r>
          </w:p>
        </w:tc>
        <w:tc>
          <w:tcPr>
            <w:tcW w:type="dxa" w:w="2045"/>
            <w:shd w:fill="D9EAD3"/>
            <w:vAlign w:val="top"/>
          </w:tcPr>
          <w:p>
            <w:r/>
            <w:r>
              <w:rPr>
                <w:b/>
                <w:sz w:val="18"/>
              </w:rPr>
              <w:t>Symbol</w:t>
            </w:r>
          </w:p>
        </w:tc>
        <w:tc>
          <w:tcPr>
            <w:tcW w:type="dxa" w:w="2045"/>
            <w:shd w:fill="D9EAD3"/>
            <w:vAlign w:val="top"/>
          </w:tcPr>
          <w:p>
            <w:r/>
            <w:r>
              <w:rPr>
                <w:b/>
                <w:sz w:val="18"/>
              </w:rPr>
              <w:t>Role</w:t>
            </w:r>
          </w:p>
        </w:tc>
        <w:tc>
          <w:tcPr>
            <w:tcW w:type="dxa" w:w="2045"/>
            <w:shd w:fill="D9EAD3"/>
            <w:vAlign w:val="top"/>
          </w:tcPr>
          <w:p>
            <w:r/>
            <w:r>
              <w:rPr>
                <w:b/>
                <w:sz w:val="18"/>
              </w:rPr>
              <w:t>Explicit definition</w:t>
            </w:r>
          </w:p>
        </w:tc>
        <w:tc>
          <w:tcPr>
            <w:tcW w:type="dxa" w:w="2045"/>
            <w:shd w:fill="D9EAD3"/>
            <w:vAlign w:val="top"/>
          </w:tcPr>
          <w:p>
            <w:r/>
            <w:r>
              <w:rPr>
                <w:b/>
                <w:sz w:val="18"/>
              </w:rPr>
              <w:t>Examples</w:t>
            </w:r>
          </w:p>
        </w:tc>
      </w:tr>
      <w:tr>
        <w:tc>
          <w:tcPr>
            <w:tcW w:type="dxa" w:w="2045"/>
            <w:vAlign w:val="top"/>
          </w:tcPr>
          <w:p>
            <w:r/>
            <w:r>
              <w:rPr>
                <w:b/>
                <w:sz w:val="18"/>
              </w:rPr>
              <w:t>Delta</w:t>
            </w:r>
          </w:p>
        </w:tc>
        <w:tc>
          <w:tcPr>
            <w:tcW w:type="dxa" w:w="2045"/>
            <w:vAlign w:val="top"/>
          </w:tcPr>
          <w:p>
            <w:r/>
            <w:r>
              <w:rPr>
                <w:b w:val="0"/>
                <w:sz w:val="18"/>
              </w:rPr>
              <w:t>Δ</w:t>
            </w:r>
          </w:p>
        </w:tc>
        <w:tc>
          <w:tcPr>
            <w:tcW w:type="dxa" w:w="2045"/>
            <w:vAlign w:val="top"/>
          </w:tcPr>
          <w:p>
            <w:r/>
            <w:r>
              <w:rPr>
                <w:b w:val="0"/>
                <w:sz w:val="18"/>
              </w:rPr>
              <w:t>Residual change</w:t>
            </w:r>
          </w:p>
        </w:tc>
        <w:tc>
          <w:tcPr>
            <w:tcW w:type="dxa" w:w="2045"/>
            <w:vAlign w:val="top"/>
          </w:tcPr>
          <w:p>
            <w:r/>
            <w:r>
              <w:rPr>
                <w:b w:val="0"/>
                <w:sz w:val="18"/>
              </w:rPr>
              <w:t>What changed, was lost, distorted, mismatched, or left over after encoding, projection, compression, translation, or reconstruction.</w:t>
            </w:r>
          </w:p>
        </w:tc>
        <w:tc>
          <w:tcPr>
            <w:tcW w:type="dxa" w:w="2045"/>
            <w:vAlign w:val="top"/>
          </w:tcPr>
          <w:p>
            <w:r/>
            <w:r>
              <w:rPr>
                <w:b w:val="0"/>
                <w:sz w:val="18"/>
              </w:rPr>
              <w:t>Difference between source and projection; drift between a file and its memory card; semantic residue after summarization.</w:t>
            </w:r>
          </w:p>
        </w:tc>
      </w:tr>
      <w:tr>
        <w:tc>
          <w:tcPr>
            <w:tcW w:type="dxa" w:w="2045"/>
            <w:vAlign w:val="top"/>
          </w:tcPr>
          <w:p>
            <w:r/>
            <w:r>
              <w:rPr>
                <w:b/>
                <w:sz w:val="18"/>
              </w:rPr>
              <w:t>Phi</w:t>
            </w:r>
          </w:p>
        </w:tc>
        <w:tc>
          <w:tcPr>
            <w:tcW w:type="dxa" w:w="2045"/>
            <w:vAlign w:val="top"/>
          </w:tcPr>
          <w:p>
            <w:r/>
            <w:r>
              <w:rPr>
                <w:b w:val="0"/>
                <w:sz w:val="18"/>
              </w:rPr>
              <w:t>φ</w:t>
            </w:r>
          </w:p>
        </w:tc>
        <w:tc>
          <w:tcPr>
            <w:tcW w:type="dxa" w:w="2045"/>
            <w:vAlign w:val="top"/>
          </w:tcPr>
          <w:p>
            <w:r/>
            <w:r>
              <w:rPr>
                <w:b w:val="0"/>
                <w:sz w:val="18"/>
              </w:rPr>
              <w:t>Invariant structure</w:t>
            </w:r>
          </w:p>
        </w:tc>
        <w:tc>
          <w:tcPr>
            <w:tcW w:type="dxa" w:w="2045"/>
            <w:vAlign w:val="top"/>
          </w:tcPr>
          <w:p>
            <w:r/>
            <w:r>
              <w:rPr>
                <w:b w:val="0"/>
                <w:sz w:val="18"/>
              </w:rPr>
              <w:t>The lawful structure that should survive the transformation: coherence, phase, meaning, constraint, identity, motif, or proof-relevant invariant.</w:t>
            </w:r>
          </w:p>
        </w:tc>
        <w:tc>
          <w:tcPr>
            <w:tcW w:type="dxa" w:w="2045"/>
            <w:vAlign w:val="top"/>
          </w:tcPr>
          <w:p>
            <w:r/>
            <w:r>
              <w:rPr>
                <w:b w:val="0"/>
                <w:sz w:val="18"/>
              </w:rPr>
              <w:t>The concept identity preserved across aliases; a motif preserved through GCL encoding; a theorem-relevant invariant preserved through refactor.</w:t>
            </w:r>
          </w:p>
        </w:tc>
      </w:tr>
      <w:tr>
        <w:tc>
          <w:tcPr>
            <w:tcW w:type="dxa" w:w="2045"/>
            <w:vAlign w:val="top"/>
          </w:tcPr>
          <w:p>
            <w:r/>
            <w:r>
              <w:rPr>
                <w:b/>
                <w:sz w:val="18"/>
              </w:rPr>
              <w:t>Gamma</w:t>
            </w:r>
          </w:p>
        </w:tc>
        <w:tc>
          <w:tcPr>
            <w:tcW w:type="dxa" w:w="2045"/>
            <w:vAlign w:val="top"/>
          </w:tcPr>
          <w:p>
            <w:r/>
            <w:r>
              <w:rPr>
                <w:b w:val="0"/>
                <w:sz w:val="18"/>
              </w:rPr>
              <w:t>γ</w:t>
            </w:r>
          </w:p>
        </w:tc>
        <w:tc>
          <w:tcPr>
            <w:tcW w:type="dxa" w:w="2045"/>
            <w:vAlign w:val="top"/>
          </w:tcPr>
          <w:p>
            <w:r/>
            <w:r>
              <w:rPr>
                <w:b w:val="0"/>
                <w:sz w:val="18"/>
              </w:rPr>
              <w:t>Compression pressure</w:t>
            </w:r>
          </w:p>
        </w:tc>
        <w:tc>
          <w:tcPr>
            <w:tcW w:type="dxa" w:w="2045"/>
            <w:vAlign w:val="top"/>
          </w:tcPr>
          <w:p>
            <w:r/>
            <w:r>
              <w:rPr>
                <w:b w:val="0"/>
                <w:sz w:val="18"/>
              </w:rPr>
              <w:t>How hard the system forces collapse, abstraction, recoding, summarization, normalization, or gain. Higher gamma means stronger pressure to shrink, merge, generalize, or accelerate.</w:t>
            </w:r>
          </w:p>
        </w:tc>
        <w:tc>
          <w:tcPr>
            <w:tcW w:type="dxa" w:w="2045"/>
            <w:vAlign w:val="top"/>
          </w:tcPr>
          <w:p>
            <w:r/>
            <w:r>
              <w:rPr>
                <w:b w:val="0"/>
                <w:sz w:val="18"/>
              </w:rPr>
              <w:t>More aggressive summarization; stronger model collapse; tighter byte budget; higher abstraction pressure.</w:t>
            </w:r>
          </w:p>
        </w:tc>
      </w:tr>
      <w:tr>
        <w:tc>
          <w:tcPr>
            <w:tcW w:type="dxa" w:w="2045"/>
            <w:vAlign w:val="top"/>
          </w:tcPr>
          <w:p>
            <w:r/>
            <w:r>
              <w:rPr>
                <w:b/>
                <w:sz w:val="18"/>
              </w:rPr>
              <w:t>Lambda</w:t>
            </w:r>
          </w:p>
        </w:tc>
        <w:tc>
          <w:tcPr>
            <w:tcW w:type="dxa" w:w="2045"/>
            <w:vAlign w:val="top"/>
          </w:tcPr>
          <w:p>
            <w:r/>
            <w:r>
              <w:rPr>
                <w:b w:val="0"/>
                <w:sz w:val="18"/>
              </w:rPr>
              <w:t>λ</w:t>
            </w:r>
          </w:p>
        </w:tc>
        <w:tc>
          <w:tcPr>
            <w:tcW w:type="dxa" w:w="2045"/>
            <w:vAlign w:val="top"/>
          </w:tcPr>
          <w:p>
            <w:r/>
            <w:r>
              <w:rPr>
                <w:b w:val="0"/>
                <w:sz w:val="18"/>
              </w:rPr>
              <w:t>Scale band</w:t>
            </w:r>
          </w:p>
        </w:tc>
        <w:tc>
          <w:tcPr>
            <w:tcW w:type="dxa" w:w="2045"/>
            <w:vAlign w:val="top"/>
          </w:tcPr>
          <w:p>
            <w:r/>
            <w:r>
              <w:rPr>
                <w:b w:val="0"/>
                <w:sz w:val="18"/>
              </w:rPr>
              <w:t>The scale at which the comparison is being made: byte span, chunk size, code length, wavelength, abstraction depth, temporal window, or surface resolution.</w:t>
            </w:r>
          </w:p>
        </w:tc>
        <w:tc>
          <w:tcPr>
            <w:tcW w:type="dxa" w:w="2045"/>
            <w:vAlign w:val="top"/>
          </w:tcPr>
          <w:p>
            <w:r/>
            <w:r>
              <w:rPr>
                <w:b w:val="0"/>
                <w:sz w:val="18"/>
              </w:rPr>
              <w:t>A 4 KB chunk, a function-level code unit, a page-level document summary, a surface cell, or a full repository pass.</w:t>
            </w:r>
          </w:p>
        </w:tc>
      </w:tr>
    </w:tbl>
    <w:p>
      <w:pPr>
        <w:pStyle w:val="CodeBlock"/>
      </w:pPr>
      <w:r>
        <w:rPr>
          <w:rFonts w:ascii="Consolas" w:hAnsi="Consolas" w:eastAsia="Consolas"/>
          <w:sz w:val="17"/>
        </w:rPr>
        <w:t>Delta-Phi-Gamma-Lambda question:</w:t>
        <w:br/>
        <w:t xml:space="preserve">  At scale lambda, under compression pressure gamma, how much invariant phi changed, and what delta residue must be recorded?</w:t>
      </w:r>
    </w:p>
    <w:p>
      <w:r>
        <w:t>Operationally, the stack should not ask only “did the representation get smaller?” It should ask whether phi survived, whether delta stayed bounded, whether gamma was appropriate for the task, whether lambda was declared, and whether failures were receipted.</w:t>
      </w:r>
    </w:p>
    <w:p>
      <w:pPr>
        <w:pStyle w:val="Heading1"/>
      </w:pPr>
      <w:r>
        <w:t>8. Controlled degeneracy and alias discipline</w:t>
      </w:r>
    </w:p>
    <w:p>
      <w:r>
        <w:t>Biological coding demonstrates a useful architectural lesson: not every useful encoding needs perfect one-to-one uniqueness. Multiple encodings may express the same stable output, provided the system distinguishes lawful aliases from incompatible collapses.</w:t>
      </w:r>
    </w:p>
    <w:p>
      <w:r>
        <w:t>For conceptual bindings, this becomes alias discipline. Aliases are allowed when they preserve the same invariant, declare the same authority boundary, and provide a reverse path back to source evidence or a repair route. Aliases are blocked when they hide incompatible meanings under one label.</w:t>
      </w:r>
    </w:p>
    <w:p>
      <w:pPr>
        <w:pStyle w:val="CodeBlock"/>
      </w:pPr>
      <w:r>
        <w:rPr>
          <w:rFonts w:ascii="Consolas" w:hAnsi="Consolas" w:eastAsia="Consolas"/>
          <w:sz w:val="17"/>
        </w:rPr>
        <w:t>Allowed alias:</w:t>
        <w:br/>
        <w:t xml:space="preserve">  different names or encodings</w:t>
        <w:br/>
        <w:t xml:space="preserve">    -&gt; same invariant phi</w:t>
        <w:br/>
        <w:t xml:space="preserve">    -&gt; same authority boundary</w:t>
        <w:br/>
        <w:t xml:space="preserve">    -&gt; reverse-collapse or repair path exists</w:t>
        <w:br/>
        <w:t xml:space="preserve">    -&gt; receipt records the alias rule</w:t>
        <w:br/>
        <w:br/>
        <w:t>Blocked alias:</w:t>
        <w:br/>
        <w:t xml:space="preserve">  different names or encodings</w:t>
        <w:br/>
        <w:t xml:space="preserve">    -&gt; incompatible meanings</w:t>
        <w:br/>
        <w:t xml:space="preserve">    -&gt; no recovery path</w:t>
        <w:br/>
        <w:t xml:space="preserve">    -&gt; no receipt</w:t>
        <w:br/>
        <w:t xml:space="preserve">    -&gt; Warden emits alias_boundary_blur</w:t>
      </w:r>
    </w:p>
    <w:p>
      <w:pPr>
        <w:pStyle w:val="Heading1"/>
      </w:pPr>
      <w:r>
        <w:t>9. Surface projection is an audit, not decoration</w:t>
      </w:r>
    </w:p>
    <w:p>
      <w:pPr>
        <w:pStyle w:val="Heading2"/>
      </w:pPr>
      <w:r>
        <w:rPr>
          <w:rFonts w:ascii="Arial" w:hAnsi="Arial" w:eastAsia="Arial"/>
          <w:sz w:val="20"/>
        </w:rPr>
        <w:t>n-voxel terminology for geometry-space</w:t>
      </w:r>
    </w:p>
    <w:p>
      <w:pPr/>
      <w:r>
        <w:rPr>
          <w:rFonts w:ascii="Arial" w:hAnsi="Arial" w:eastAsia="Arial"/>
          <w:sz w:val="20"/>
        </w:rPr>
        <w:t>This document uses n-voxel as the dimension-parameterized geometric cell term. The older term hoxel should be treated as a deprecated alias unless a source explicitly means a specific hyper-voxel construction.</w:t>
      </w:r>
    </w:p>
    <w:p>
      <w:pPr>
        <w:pStyle w:val="CodeBlock"/>
      </w:pPr>
      <w:r>
        <w:rPr>
          <w:rFonts w:ascii="Courier New" w:hAnsi="Courier New" w:eastAsia="Courier New"/>
          <w:sz w:val="17"/>
        </w:rPr>
        <w:t>Goxel</w:t>
        <w:br/>
        <w:t xml:space="preserve">  -&gt; pre-compressed / shape-agnostic geometry primitive</w:t>
        <w:br/>
        <w:br/>
        <w:t>Voxel</w:t>
        <w:br/>
        <w:t xml:space="preserve">  -&gt; ordinary 3D compressed cell</w:t>
        <w:br/>
        <w:br/>
        <w:t>n-voxel</w:t>
        <w:br/>
        <w:t xml:space="preserve">  -&gt; dimension-parameterized compressed or partially compressed cell</w:t>
        <w:br/>
        <w:br/>
        <w:t>Surface</w:t>
        <w:br/>
        <w:t xml:space="preserve">  -&gt; inspectable projection of Goxel, voxel, or n-voxel states</w:t>
      </w:r>
    </w:p>
    <w:p>
      <w:pPr/>
      <w:r>
        <w:rPr>
          <w:rFonts w:ascii="Arial" w:hAnsi="Arial" w:eastAsia="Arial"/>
          <w:sz w:val="20"/>
        </w:rPr>
        <w:t>The reason for the terminology change is precision: n-voxel says that dimensionality is a parameter, while hoxel can imply a fixed hyperdimensional or 4D object. GCL should not lock geometry to 3D or 4D when the workspace is intended to support n-dimensional coding surfaces.</w:t>
      </w:r>
    </w:p>
    <w:p>
      <w:r>
        <w:t>Surfaces are useful because they make bindings inspectable: ridges, holes, basins, seams, contours, thresholds, and ruptures can reveal how an abstraction behaves. But a surface remains a phenotype. It does not become proof merely because it is visible, elegant, or central in a graph.</w:t>
      </w:r>
    </w:p>
    <w:p>
      <w:pPr>
        <w:pStyle w:val="CodeBlock"/>
      </w:pPr>
      <w:r>
        <w:rPr>
          <w:rFonts w:ascii="Consolas" w:hAnsi="Consolas" w:eastAsia="Consolas"/>
          <w:sz w:val="17"/>
        </w:rPr>
        <w:t>GCL object</w:t>
        <w:br/>
        <w:t xml:space="preserve">  -&gt; Mass Number packet</w:t>
        <w:br/>
        <w:t xml:space="preserve">  -&gt; surface projection</w:t>
        <w:br/>
        <w:t xml:space="preserve">  -&gt; probe / measurement / receipt</w:t>
        <w:br/>
        <w:t xml:space="preserve">  -&gt; Warden status</w:t>
      </w:r>
    </w:p>
    <w:p>
      <w:pPr>
        <w:pStyle w:val="ListBullet"/>
      </w:pPr>
      <w:r>
        <w:t>Projection != proof.</w:t>
      </w:r>
    </w:p>
    <w:p>
      <w:pPr>
        <w:pStyle w:val="ListBullet"/>
      </w:pPr>
      <w:r>
        <w:t>Phenotype != genotype.</w:t>
      </w:r>
    </w:p>
    <w:p>
      <w:pPr>
        <w:pStyle w:val="ListBullet"/>
      </w:pPr>
      <w:r>
        <w:t>Visual centrality != truth.</w:t>
      </w:r>
    </w:p>
    <w:p>
      <w:pPr>
        <w:pStyle w:val="ListBullet"/>
      </w:pPr>
      <w:r>
        <w:t>Simulation convergence != theorem.</w:t>
      </w:r>
    </w:p>
    <w:p>
      <w:pPr>
        <w:pStyle w:val="ListBullet"/>
      </w:pPr>
      <w:r>
        <w:t>LLM agreement != validation.</w:t>
      </w:r>
    </w:p>
    <w:p>
      <w:pPr>
        <w:pStyle w:val="ListBullet"/>
      </w:pPr>
      <w:r>
        <w:t>No surface, no promotion for recursive abstraction fields.</w:t>
      </w:r>
    </w:p>
    <w:p>
      <w:pPr>
        <w:pStyle w:val="Heading1"/>
      </w:pPr>
      <w:r>
        <w:t>10. Reverse collapse and recursion safety</w:t>
      </w:r>
    </w:p>
    <w:p>
      <w:r>
        <w:t>A Mass Number or GCL object can compress a concept so aggressively that the abstraction starts explaining itself. That is useful only if it can unfold back to a concrete anchor.</w:t>
      </w:r>
    </w:p>
    <w:p>
      <w:pPr>
        <w:pStyle w:val="CodeBlock"/>
      </w:pPr>
      <w:r>
        <w:rPr>
          <w:rFonts w:ascii="Consolas" w:hAnsi="Consolas" w:eastAsia="Consolas"/>
          <w:sz w:val="17"/>
        </w:rPr>
        <w:t>Forward path:</w:t>
        <w:br/>
        <w:t xml:space="preserve">  raw object</w:t>
        <w:br/>
        <w:t xml:space="preserve">    -&gt; Mass Number</w:t>
        <w:br/>
        <w:t xml:space="preserve">    -&gt; Surface</w:t>
        <w:br/>
        <w:t xml:space="preserve">    -&gt; higher abstraction</w:t>
        <w:br/>
        <w:br/>
        <w:t>Reverse-collapse path:</w:t>
        <w:br/>
        <w:t xml:space="preserve">  higher abstraction</w:t>
        <w:br/>
        <w:t xml:space="preserve">    -&gt; Surface feature</w:t>
        <w:br/>
        <w:t xml:space="preserve">    -&gt; Mass Number field</w:t>
        <w:br/>
        <w:t xml:space="preserve">    -&gt; concrete object / example / invariant / test</w:t>
      </w:r>
    </w:p>
    <w:p>
      <w:r>
        <w:t>If reverse collapse fails, the binding remains HOLD. The failure should be recorded as Underverse residue rather than allowed to circulate as an active field.</w:t>
      </w:r>
    </w:p>
    <w:p>
      <w:pPr>
        <w:pStyle w:val="Heading1"/>
      </w:pPr>
      <w:r>
        <w:t>11. Authority states and promotion</w:t>
      </w:r>
    </w:p>
    <w:p>
      <w:r>
        <w:t>GCL separates existence from authority. A GCL object exists so it can be inherited, mutated, traced, repaired, projected, or quarantined. It does not become true merely because it exists.</w:t>
      </w:r>
    </w:p>
    <w:p>
      <w:pPr>
        <w:pStyle w:val="ListBullet"/>
      </w:pPr>
      <w:r>
        <w:t>U_scope: exploratory or unscoped.</w:t>
      </w:r>
    </w:p>
    <w:p>
      <w:pPr>
        <w:pStyle w:val="ListBullet"/>
      </w:pPr>
      <w:r>
        <w:t>HOLD: important but unresolved; preserve but do not promote.</w:t>
      </w:r>
    </w:p>
    <w:p>
      <w:pPr>
        <w:pStyle w:val="ListBullet"/>
      </w:pPr>
      <w:r>
        <w:t>V_scope: valid only under a declared local scope.</w:t>
      </w:r>
    </w:p>
    <w:p>
      <w:pPr>
        <w:pStyle w:val="ListBullet"/>
      </w:pPr>
      <w:r>
        <w:t>REVIEWED: review or audit receipts exist.</w:t>
      </w:r>
    </w:p>
    <w:p>
      <w:pPr>
        <w:pStyle w:val="ListBullet"/>
      </w:pPr>
      <w:r>
        <w:t>CANONICAL_LEAN: formal artifact exists and builds without hidden gaps.</w:t>
      </w:r>
    </w:p>
    <w:p>
      <w:pPr>
        <w:pStyle w:val="ListBullet"/>
      </w:pPr>
      <w:r>
        <w:t>QUARANTINE: unsafe, misleading, overbroad, or category-confused.</w:t>
      </w:r>
    </w:p>
    <w:p>
      <w:pPr>
        <w:pStyle w:val="Heading1"/>
      </w:pPr>
      <w:r>
        <w:t>12. Minimal implementation target</w:t>
      </w:r>
    </w:p>
    <w:p>
      <w:r>
        <w:t>The first executable implementation should stay small. It should validate the shared surface without pretending to encode every regime at once.</w:t>
      </w:r>
    </w:p>
    <w:p>
      <w:pPr>
        <w:pStyle w:val="CodeBlock"/>
      </w:pPr>
      <w:r>
        <w:rPr>
          <w:rFonts w:ascii="Consolas" w:hAnsi="Consolas" w:eastAsia="Consolas"/>
          <w:sz w:val="17"/>
        </w:rPr>
        <w:t>Phase 1:</w:t>
        <w:br/>
        <w:t xml:space="preserve">  Stack-native GCL object validator</w:t>
        <w:br/>
        <w:br/>
        <w:t>Phase 2:</w:t>
        <w:br/>
        <w:t xml:space="preserve">  Alias discipline and provenance validator</w:t>
        <w:br/>
        <w:br/>
        <w:t>Phase 3:</w:t>
        <w:br/>
        <w:t xml:space="preserve">  Algorithmic-GCL AST observation packet validator</w:t>
        <w:br/>
        <w:br/>
        <w:t>Phase 4:</w:t>
        <w:br/>
        <w:t xml:space="preserve">  Bio-GCL as external-source / analogy-bounded objects only</w:t>
      </w:r>
    </w:p>
    <w:p>
      <w:pPr>
        <w:pStyle w:val="Heading1"/>
      </w:pPr>
      <w:r>
        <w:t>13. Warden rules for the combined surface</w:t>
      </w:r>
    </w:p>
    <w:p>
      <w:pPr>
        <w:pStyle w:val="ListBullet"/>
      </w:pPr>
      <w:r>
        <w:t>If biological or synthetic coding language is used as proof instead of as a bounded reference surface, emit bio_overclaim and block promotion.</w:t>
      </w:r>
    </w:p>
    <w:p>
      <w:pPr>
        <w:pStyle w:val="ListBullet"/>
      </w:pPr>
      <w:r>
        <w:t>If GCL is described as literal biology, mark the claim HOLD and require a corrected scope statement.</w:t>
      </w:r>
    </w:p>
    <w:p>
      <w:pPr>
        <w:pStyle w:val="ListBullet"/>
      </w:pPr>
      <w:r>
        <w:t>If a synthetic-genetic reference is used without a source receipt, require SourceAudit before it can support any engineering claim.</w:t>
      </w:r>
    </w:p>
    <w:p>
      <w:pPr>
        <w:pStyle w:val="ListBullet"/>
      </w:pPr>
      <w:r>
        <w:t>If two aliases collapse distinct meanings without provenance or a recovery path, emit alias_boundary_blur and block promotion.</w:t>
      </w:r>
    </w:p>
    <w:p>
      <w:pPr>
        <w:pStyle w:val="ListBullet"/>
      </w:pPr>
      <w:r>
        <w:t>If a projection is used as proof, emit projection_proof_confusion and block promotion.</w:t>
      </w:r>
    </w:p>
    <w:p>
      <w:pPr>
        <w:pStyle w:val="ListBullet"/>
      </w:pPr>
      <w:r>
        <w:t>If an algorithmic collapse lacks behavior-preserving tests, mark HOLD and require TestReceipt.</w:t>
      </w:r>
    </w:p>
    <w:p>
      <w:pPr>
        <w:pStyle w:val="ListBullet"/>
      </w:pPr>
      <w:r>
        <w:t>If recursive abstraction lacks a reverse-collapse target, emit recursive_abstraction_without_ground and block promotion.</w:t>
      </w:r>
    </w:p>
    <w:p>
      <w:pPr>
        <w:pStyle w:val="ListBullet"/>
      </w:pPr>
      <w:r>
        <w:t>If canonical computation uses floats in a fixed-point hot path, emit fixed_point_violation and block promotion.</w:t>
      </w:r>
    </w:p>
    <w:p>
      <w:pPr>
        <w:pStyle w:val="ListBullet"/>
      </w:pPr>
      <w:r>
        <w:rPr>
          <w:rFonts w:ascii="Arial" w:hAnsi="Arial" w:eastAsia="Arial"/>
          <w:sz w:val="20"/>
        </w:rPr>
        <w:t>If a geometry field uses hoxel without declaring a specific hyper-voxel construction, normalize terminology to n-voxel and record the alias as deprecated.</w:t>
      </w:r>
    </w:p>
    <w:p>
      <w:pPr>
        <w:pStyle w:val="ListBullet"/>
      </w:pPr>
      <w:r>
        <w:rPr>
          <w:rFonts w:ascii="Arial" w:hAnsi="Arial" w:eastAsia="Arial"/>
          <w:sz w:val="20"/>
        </w:rPr>
        <w:t>If a cell-like geometry is dimension-parameterized, require the n value or scale band before promotion.</w:t>
      </w:r>
    </w:p>
    <w:p>
      <w:pPr>
        <w:pStyle w:val="Heading1"/>
      </w:pPr>
      <w:r>
        <w:t>14. Working object template</w:t>
      </w:r>
    </w:p>
    <w:p>
      <w:pPr>
        <w:pStyle w:val="CodeBlock"/>
      </w:pPr>
      <w:r>
        <w:rPr>
          <w:rFonts w:ascii="Consolas" w:hAnsi="Consolas" w:eastAsia="Consolas"/>
          <w:sz w:val="17"/>
        </w:rPr>
        <w:t>CombinedGCLCodingObject = {</w:t>
        <w:br/>
        <w:t xml:space="preserve">  gcl_id,</w:t>
        <w:br/>
        <w:t xml:space="preserve">  preferred_name,</w:t>
        <w:br/>
        <w:t xml:space="preserve">  aliases,</w:t>
        <w:br/>
        <w:t xml:space="preserve">  coding_variant,</w:t>
        <w:br/>
        <w:t xml:space="preserve">  kind,</w:t>
        <w:br/>
        <w:t xml:space="preserve">  claim_state,</w:t>
        <w:br/>
        <w:t xml:space="preserve">  authority_scope,</w:t>
        <w:br/>
        <w:t xml:space="preserve">  definition,</w:t>
        <w:br/>
        <w:t xml:space="preserve">  genotype,</w:t>
        <w:br/>
        <w:t xml:space="preserve">  expression,</w:t>
        <w:br/>
        <w:t xml:space="preserve">  expansion_slots,</w:t>
        <w:br/>
        <w:t xml:space="preserve">  gates,</w:t>
        <w:br/>
        <w:t xml:space="preserve">  receipts,</w:t>
        <w:br/>
        <w:t xml:space="preserve">  projections,</w:t>
        <w:br/>
        <w:t xml:space="preserve">  mutation_history,</w:t>
        <w:br/>
        <w:t xml:space="preserve">  repair_paths,</w:t>
        <w:br/>
        <w:t xml:space="preserve">  blocked_usages</w:t>
        <w:br/>
        <w:t>}</w:t>
      </w:r>
    </w:p>
    <w:p>
      <w:pPr>
        <w:pStyle w:val="Heading1"/>
      </w:pPr>
      <w:r>
        <w:t>15. Source document anchors</w:t>
      </w:r>
    </w:p>
    <w:p>
      <w:r>
        <w:t>This export consolidates the current GCL approach from the following Research Stack documents and working doctrines:</w:t>
      </w:r>
    </w:p>
    <w:p>
      <w:pPr>
        <w:pStyle w:val="ListBullet"/>
      </w:pPr>
      <w:r>
        <w:t>docs/gcl/GCLCompleteSurface.md</w:t>
      </w:r>
    </w:p>
    <w:p>
      <w:pPr>
        <w:pStyle w:val="ListBullet"/>
      </w:pPr>
      <w:r>
        <w:t>docs/gcl/GCLCombinedCodingSurface.md</w:t>
      </w:r>
    </w:p>
    <w:p>
      <w:pPr>
        <w:pStyle w:val="ListBullet"/>
      </w:pPr>
      <w:r>
        <w:t>docs/gcl/MassNumberGCLSubset.md</w:t>
      </w:r>
    </w:p>
    <w:p>
      <w:pPr>
        <w:pStyle w:val="ListBullet"/>
      </w:pPr>
      <w:r>
        <w:t>docs/gcl/CompressionDeltaPhiGammaLambdaDoctrine.md</w:t>
      </w:r>
    </w:p>
    <w:p>
      <w:pPr>
        <w:pStyle w:val="ListBullet"/>
      </w:pPr>
      <w:r>
        <w:t>docs/gcl/MassNumberSurfaceTranslation.md</w:t>
      </w:r>
    </w:p>
    <w:p>
      <w:pPr>
        <w:pStyle w:val="ListBullet"/>
      </w:pPr>
      <w:r>
        <w:t>docs/gcl/MassNumberRecursionWarning.md</w:t>
      </w:r>
    </w:p>
    <w:p>
      <w:pPr>
        <w:pStyle w:val="ListBullet"/>
      </w:pPr>
      <w:r>
        <w:t>docs/gcl/EquationForestActiveKernels.md</w:t>
      </w:r>
    </w:p>
    <w:p>
      <w:pPr>
        <w:pStyle w:val="ListBullet"/>
      </w:pPr>
      <w:r>
        <w:t>docs/SYNTHETIC_GENETIC_CODING_RESEARCH.md</w:t>
      </w:r>
    </w:p>
    <w:p>
      <w:pPr>
        <w:pStyle w:val="ListBullet"/>
      </w:pPr>
      <w:r>
        <w:t>docs/wiki/NotationNomenclatureRegistry.md</w:t>
      </w:r>
    </w:p>
    <w:p>
      <w:pPr>
        <w:pStyle w:val="ListBullet"/>
      </w:pPr>
      <w:r>
        <w:rPr>
          <w:rFonts w:ascii="Arial" w:hAnsi="Arial" w:eastAsia="Arial"/>
          <w:sz w:val="20"/>
        </w:rPr>
        <w:t>docs/gcl/GeometricCompressionWorkspace.md</w:t>
      </w:r>
    </w:p>
    <w:p>
      <w:pPr>
        <w:pStyle w:val="ListBullet"/>
      </w:pPr>
      <w:r>
        <w:rPr>
          <w:rFonts w:ascii="Arial" w:hAnsi="Arial" w:eastAsia="Arial"/>
          <w:sz w:val="20"/>
        </w:rPr>
        <w:t>tools/lean/Semantics/Semantics/GeometricCompressionWorkspace.lean</w:t>
      </w:r>
    </w:p>
    <w:p>
      <w:pPr>
        <w:pStyle w:val="Heading1"/>
      </w:pPr>
      <w:r>
        <w:t>16. Compact doctrine</w:t>
      </w:r>
    </w:p>
    <w:p>
      <w:pPr>
        <w:pStyle w:val="CodeBlock"/>
      </w:pPr>
      <w:r>
        <w:t>GCL unifies coding surfaces, not truth claims.</w:t>
        <w:br/>
        <w:br/>
        <w:t>Every conceptual binding must declare its unit, expression, mutation, repair, gate, projection, and receipt. Delta-Phi-Gamma-Lambda asks what invariant survived, under what pressure, at what scale, and what residue was recorded.</w:t>
        <w:br/>
        <w:br/>
        <w:t>Geometry terms stay explicit: Goxel is pre-compression, voxel is 3D compression, n-voxel is dimension-parameterized compression, and surface is projection.</w:t>
      </w:r>
    </w:p>
    <w:p/>
    <w:p/>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GCL Surface and Conceptual Binding Approach — HOLD / workbench synthesis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