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GCL Surface and Conceptual Binding Approach</w:t>
      </w:r>
    </w:p>
    <w:p>
      <w:pPr>
        <w:pStyle w:val="Subtitle"/>
        <w:jc w:val="center"/>
      </w:pPr>
      <w:r>
        <w:t>A workbench document for mapping conceptual bindings onto a typed, receipted Genetic Coding Language surface</w:t>
      </w:r>
    </w:p>
    <w:p>
      <w:pPr>
        <w:jc w:val="center"/>
      </w:pPr>
      <w:r>
        <w:rPr>
          <w:i/>
          <w:color w:val="666666"/>
        </w:rPr>
        <w:t>Status: HOLD / workbench synthesis, not formal proof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Operating sentence</w:t>
            </w:r>
          </w:p>
        </w:tc>
        <w:tc>
          <w:tcPr>
            <w:tcW w:type="dxa" w:w="5112"/>
            <w:shd w:fill="EAF2F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GCL is the Genetic Coding Language that lets strange research objects mutate, recombine, express themselves, and project to surfaces without skipping typing, gates, receipts, repair, or closure.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Primary boundary</w:t>
            </w:r>
          </w:p>
        </w:tc>
        <w:tc>
          <w:tcPr>
            <w:tcW w:type="dxa" w:w="5112"/>
            <w:shd w:fill="F8F4E3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GCL unifies coding surfaces, not truth claims. Projection is not proof; phenotype is not genotype; visual centrality is not truth.</w:t>
            </w:r>
          </w:p>
        </w:tc>
      </w:tr>
    </w:tbl>
    <w:p>
      <w:pPr>
        <w:pStyle w:val="Heading1"/>
      </w:pPr>
      <w:r>
        <w:t>1. Purpose</w:t>
      </w:r>
    </w:p>
    <w:p>
      <w:r>
        <w:t>This document exports the current approach to conceptual bindings in the Research Stack. It explains how GCL acts as a combined surface for biological genetic coding, synthetic genetic coding, stack-native concept coding, Mass Number process coding, signal coding, geometry coding, algorithmic coding, formal coding, surface projection, and failure handling.</w:t>
      </w:r>
    </w:p>
    <w:p>
      <w:r>
        <w:t>The goal is not to collapse every code into the same ontology. The goal is to give each coding regime a shared comparison surface while preserving its authority boundary, validation route, and failure mode.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coding variant</w:t>
        <w:br/>
        <w:t xml:space="preserve">  -&gt; GCL genotype slots</w:t>
        <w:br/>
        <w:t xml:space="preserve">  -&gt; expressed phenotype</w:t>
        <w:br/>
        <w:t xml:space="preserve">  -&gt; admissibility / closure gates</w:t>
        <w:br/>
        <w:t xml:space="preserve">  -&gt; projection surface</w:t>
        <w:br/>
        <w:t xml:space="preserve">  -&gt; receipt target</w:t>
      </w:r>
    </w:p>
    <w:p>
      <w:pPr>
        <w:pStyle w:val="Heading1"/>
      </w:pPr>
      <w:r>
        <w:t>2. Core thesis</w:t>
      </w:r>
    </w:p>
    <w:p>
      <w:r>
        <w:t>A conceptual binding is a controlled encoding of an idea into a typed unit that can be expressed, mutated, recombined, projected, gated, repaired, and receipted. GCL provides the host grammar for those bindings.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intuition</w:t>
        <w:br/>
        <w:t xml:space="preserve">  -&gt; encoded concept genome</w:t>
        <w:br/>
        <w:t xml:space="preserve">  -&gt; expansion slots</w:t>
        <w:br/>
        <w:t xml:space="preserve">  -&gt; admissibility gates</w:t>
        <w:br/>
        <w:t xml:space="preserve">  -&gt; receipts</w:t>
        <w:br/>
        <w:t xml:space="preserve">  -&gt; projections</w:t>
        <w:br/>
        <w:t xml:space="preserve">  -&gt; formalization targets</w:t>
      </w:r>
    </w:p>
    <w:p>
      <w:r>
        <w:t>In compression terms, GCL exists to preserve invariant structure, bound residual distortion, control compression pressure, choose a scale, and record what fails.</w:t>
      </w:r>
    </w:p>
    <w:p>
      <w:pPr>
        <w:pStyle w:val="Heading1"/>
      </w:pPr>
      <w:r>
        <w:t>3. 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1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Working definition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GCL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Genetic Coding Language: the host grammar for typed, mutable, receipt-gated research objects.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Conceptual binding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 commitment that maps an intuition or object into a typed GCL unit with expression, gates, projection, and receipts.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Genotype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The internal encoded structure: codons, expansion slots, constraints, allowed mutations, and repair paths.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Phenotype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The outward expression: wiki page, graph node, diagram, simulator behavior, theorem target, or surface render.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Mass Number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 holder packet for a modeling process. It can compress representation shift, invariant focus, obstruction, proof engine, and residue. It is not proof by itself.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Delta-Phi-Gamma-Lambda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 compression diagnostic: residual change in lawful structure under compression pressure at a chosen scale.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Goxel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 shape-agnostic, pre-compressed geometry primitive that can collapse into a surface or voxel-like representation.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Alias discipline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 rule that different names, encodings, or projections must preserve identity boundaries, provenance, and recovery paths.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Underverse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Bounded residue for invalid aliases, failed reverse collapse, unsafe overclaims, or unclosed infinities.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Warden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The gate that blocks promotion when evidence, reverse collapse, alias safety, bounded recursion, or invariant preservation is missing.</w:t>
            </w:r>
          </w:p>
        </w:tc>
      </w:tr>
    </w:tbl>
    <w:p>
      <w:pPr>
        <w:pStyle w:val="Heading1"/>
      </w:pPr>
      <w:r>
        <w:t>4. The combined GCL surface</w:t>
      </w:r>
    </w:p>
    <w:p>
      <w:r>
        <w:t>The combined surface is where multiple coding regimes can be compared through the same operations: encode, express, mutate, recombine, repair, gate, project, and receipt. The surface does not make their claims equally true. It makes their structure inspectable.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2045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2045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Expression</w:t>
            </w:r>
          </w:p>
        </w:tc>
        <w:tc>
          <w:tcPr>
            <w:tcW w:type="dxa" w:w="2045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GCL assignment</w:t>
            </w:r>
          </w:p>
        </w:tc>
        <w:tc>
          <w:tcPr>
            <w:tcW w:type="dxa" w:w="2045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Gate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Biological DNA/RNA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Nucleotide/codon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Protein/regulatory expression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Bio-GCL, external-source analogue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External evidence; no internal truth promotion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Synthetic genetic coding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Engineered codon/expanded alphabet unit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Engineered expression or programmable behavior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Bio-GCL synthetic profile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Biosafety/source receipts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Hachimoji / expanded-base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8-symbol synthetic base alphabet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Expanded biological-like encoding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Bio-GCL expanded alphabet profile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Source audit; no overclaim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Stack-native GCL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GCLCodon / expansion slot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Typed concept object, claim, or projection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Host grammar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GCL validator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MN-GCL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Mass-profile codon / symbolic marker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Mass Number, Semantic Mass, NaNMass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Mass-Number subset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Finite-first closure gate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Signal-GCL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Probe/sample/residual unit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WaveProbe or residual trace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Signal subset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Measurement receipt gate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Geo-GCL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Coordinate, simplex, graph cell, Goxel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Surface/manifold/CAD/topology projection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Geometry subset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Surface anchor + reverse collapse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Algorithmic-GCL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Function/class/import/AST node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Executable behavior or refactor candidate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Code observation profile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Behavior-preserving tests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Lean-GCL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Definition/theorem/invariant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Lean module or theorem target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Formal target subset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Build receipt and no hidden gaps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Surface-GCL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Buffer/kernel/shader/projection node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WasmGPU/Three.js/GraphML/Mermaid render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Projection subset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Projection-not-proof gate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Underverse-GCL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Invalid residue / blocked path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Quarantine, snip, or repair candidate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Failure-coding profile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Warden quarantine gate</w:t>
            </w:r>
          </w:p>
        </w:tc>
      </w:tr>
    </w:tbl>
    <w:p>
      <w:pPr>
        <w:pStyle w:val="Heading1"/>
      </w:pPr>
      <w:r>
        <w:t>5. The conceptual binding lifecycle</w:t>
      </w:r>
    </w:p>
    <w:p>
      <w:r>
        <w:t>A binding starts as an intuition, but it only becomes operational when it declares a unit, expression, mutation rule, repair path, gate, projection surface, and receipt target.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RAW_INTUITION</w:t>
        <w:br/>
        <w:t xml:space="preserve">  -&gt; NAME_AND_ALIAS_CAPTURE</w:t>
        <w:br/>
        <w:t xml:space="preserve">  -&gt; GCL_OBJECT_ENCODING</w:t>
        <w:br/>
        <w:t xml:space="preserve">  -&gt; GENOTYPE_SLOT_FILL</w:t>
        <w:br/>
        <w:t xml:space="preserve">  -&gt; PHENOTYPE_EXPRESSION</w:t>
        <w:br/>
        <w:t xml:space="preserve">  -&gt; MASS_NUMBER_OR_SURFACE_BINDING</w:t>
        <w:br/>
        <w:t xml:space="preserve">  -&gt; ADMISSIBILITY_CHECK</w:t>
        <w:br/>
        <w:t xml:space="preserve">  -&gt; PROJECTION</w:t>
        <w:br/>
        <w:t xml:space="preserve">  -&gt; RECEIPT | HOLD | REPAIR | QUARANTINE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11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Name it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Choose one preferred name and list aliases to prevent symbol drift.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Type it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Declare whether it is a concept, symbol, equation, claim, operator, metric, gate, protocol, simulator, dataset, projection, theorem target, danger boundary, mutation, repair path, or regime.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Encode it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Fill genotype/codon slots or expansion slots; avoid vague vibes unless marked HOLD or U_scope.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Express it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Declare what phenotype it produces and where it may project.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Gate it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State which gates block promotion and what evidence can move it forward.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Repair it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Declare how invalid, NaN-like, or quarantined objects can recover.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Receipt it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Attach Lean, benchmark, measurement, dataset, simulation, source audit, or safety receipts.</w:t>
            </w:r>
          </w:p>
        </w:tc>
      </w:tr>
    </w:tbl>
    <w:p>
      <w:pPr>
        <w:pStyle w:val="Heading1"/>
      </w:pPr>
      <w:r>
        <w:t>6. Compression interpretation: Delta-Phi-Gamma-Lambda</w:t>
      </w:r>
    </w:p>
    <w:p>
      <w:r>
        <w:t>The compression doctrine gives the binding system its audit question. It prevents the stack from asking only whether a representation became smaller or cleaner, and forces the stack to ask what structure survived.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Delta  = residual / distortion / loss / mismatch</w:t>
        <w:br/>
        <w:t>Phi    = lawful structure / coherence / invariant phase</w:t>
        <w:br/>
        <w:t>Gamma  = compression pressure / gain / forcing</w:t>
        <w:br/>
        <w:t>Lambda = scale / code-length / resolution band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Compression doctrine</w:t>
            </w:r>
          </w:p>
        </w:tc>
        <w:tc>
          <w:tcPr>
            <w:tcW w:type="dxa" w:w="5112"/>
            <w:shd w:fill="EAF7EA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Compression is collapse with accountability. A compression is lawful when the residual change in invariant structure remains bounded across scale under compression pressure, and every collapsed representation supports reverse recovery or a Warden receipt.</w:t>
            </w:r>
          </w:p>
        </w:tc>
      </w:tr>
    </w:tbl>
    <w:p>
      <w:pPr>
        <w:pStyle w:val="Heading1"/>
      </w:pPr>
      <w:r>
        <w:t>7. Controlled degeneracy and alias discipline</w:t>
      </w:r>
    </w:p>
    <w:p>
      <w:r>
        <w:t>Biological coding demonstrates a useful architectural lesson: not every useful encoding needs perfect one-to-one uniqueness. Multiple encodings may express the same stable output, provided the system can preserve identity boundaries, provenance, recovery paths, and authority scope.</w:t>
      </w:r>
    </w:p>
    <w:p>
      <w:r>
        <w:t>For conceptual bindings, this becomes alias discipline. Aliases are allowed when they preserve the same invariant, declare the same authority boundary, and provide a reverse path back to source evidence, example, surface feature, or receipt. Aliases are blocked when they blur incompatible meanings, hide provenance, or make recovery impossible.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Allowed alias:</w:t>
        <w:br/>
        <w:t xml:space="preserve">  different names or encodings</w:t>
        <w:br/>
        <w:t xml:space="preserve">    -&gt; same invariant phi</w:t>
        <w:br/>
        <w:t xml:space="preserve">    -&gt; same authority boundary</w:t>
        <w:br/>
        <w:t xml:space="preserve">    -&gt; reverse-collapse or repair path exists</w:t>
        <w:br/>
        <w:t xml:space="preserve">    -&gt; receipt records the alias rule</w:t>
        <w:br/>
        <w:br/>
        <w:t>Blocked alias:</w:t>
        <w:br/>
        <w:t xml:space="preserve">  different names or encodings</w:t>
        <w:br/>
        <w:t xml:space="preserve">    -&gt; blurred identity</w:t>
        <w:br/>
        <w:t xml:space="preserve">    -&gt; missing provenance</w:t>
        <w:br/>
        <w:t xml:space="preserve">    -&gt; no reverse-collapse</w:t>
        <w:br/>
        <w:t xml:space="preserve">    -&gt; no receipt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Alias discipline rule</w:t>
            </w:r>
          </w:p>
        </w:tc>
        <w:tc>
          <w:tcPr>
            <w:tcW w:type="dxa" w:w="5112"/>
            <w:shd w:fill="F8F4E3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 alias may be promoted unless it preserves identity boundaries, provenance, authority scope, and a reverse-collapse or repair path.</w:t>
            </w:r>
          </w:p>
        </w:tc>
      </w:tr>
    </w:tbl>
    <w:p>
      <w:pPr>
        <w:pStyle w:val="Heading1"/>
      </w:pPr>
      <w:r>
        <w:t>8. Surface projection is an audit, not decoration</w:t>
      </w:r>
    </w:p>
    <w:p>
      <w:r>
        <w:t>Surfaces are useful because they make bindings inspectable: ridges, holes, basins, seams, contours, thresholds, and ruptures can reveal how an abstraction behaves. But a surface remains a phenotype. It cannot promote itself into proof.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GCL object</w:t>
        <w:br/>
        <w:t xml:space="preserve">  -&gt; Mass Number packet</w:t>
        <w:br/>
        <w:t xml:space="preserve">  -&gt; surface projection</w:t>
        <w:br/>
        <w:t xml:space="preserve">  -&gt; probe / measurement / receipt</w:t>
        <w:br/>
        <w:t xml:space="preserve">  -&gt; Warden status</w:t>
      </w:r>
    </w:p>
    <w:p>
      <w:pPr>
        <w:pStyle w:val="ListBullet"/>
      </w:pPr>
      <w:r>
        <w:t>Projection != proof.</w:t>
      </w:r>
    </w:p>
    <w:p>
      <w:pPr>
        <w:pStyle w:val="ListBullet"/>
      </w:pPr>
      <w:r>
        <w:t>Phenotype != genotype.</w:t>
      </w:r>
    </w:p>
    <w:p>
      <w:pPr>
        <w:pStyle w:val="ListBullet"/>
      </w:pPr>
      <w:r>
        <w:t>Visual centrality != truth.</w:t>
      </w:r>
    </w:p>
    <w:p>
      <w:pPr>
        <w:pStyle w:val="ListBullet"/>
      </w:pPr>
      <w:r>
        <w:t>Simulation convergence != theorem.</w:t>
      </w:r>
    </w:p>
    <w:p>
      <w:pPr>
        <w:pStyle w:val="ListBullet"/>
      </w:pPr>
      <w:r>
        <w:t>LLM agreement != validation.</w:t>
      </w:r>
    </w:p>
    <w:p>
      <w:pPr>
        <w:pStyle w:val="ListBullet"/>
      </w:pPr>
      <w:r>
        <w:t>No surface, no promotion for recursive abstraction fields.</w:t>
      </w:r>
    </w:p>
    <w:p>
      <w:pPr>
        <w:pStyle w:val="Heading1"/>
      </w:pPr>
      <w:r>
        <w:t>9. Reverse collapse and recursion safety</w:t>
      </w:r>
    </w:p>
    <w:p>
      <w:r>
        <w:t>A Mass Number or GCL object can compress a concept so aggressively that the abstraction starts explaining itself. That is useful only if it can unfold back to a concrete anchor.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Forward path:</w:t>
        <w:br/>
        <w:t xml:space="preserve">  raw object</w:t>
        <w:br/>
        <w:t xml:space="preserve">    -&gt; Mass Number</w:t>
        <w:br/>
        <w:t xml:space="preserve">    -&gt; Surface</w:t>
        <w:br/>
        <w:t xml:space="preserve">    -&gt; higher abstraction</w:t>
        <w:br/>
        <w:br/>
        <w:t>Reverse-collapse path:</w:t>
        <w:br/>
        <w:t xml:space="preserve">  higher abstraction</w:t>
        <w:br/>
        <w:t xml:space="preserve">    -&gt; Surface feature</w:t>
        <w:br/>
        <w:t xml:space="preserve">    -&gt; Mass Number field</w:t>
        <w:br/>
        <w:t xml:space="preserve">    -&gt; concrete object / example / invariant /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Recursion warning</w:t>
            </w:r>
          </w:p>
        </w:tc>
        <w:tc>
          <w:tcPr>
            <w:tcW w:type="dxa" w:w="5112"/>
            <w:shd w:fill="FDEDEC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Forward abstraction without reverse collapse is unsafe. Recursive GCL or Mass Number references require a depth bound, type boundary, receipt hash, reverse-collapse target, Underverse failure packet, and Warden stop condition.</w:t>
            </w:r>
          </w:p>
        </w:tc>
      </w:tr>
    </w:tbl>
    <w:p>
      <w:pPr>
        <w:pStyle w:val="Heading1"/>
      </w:pPr>
      <w:r>
        <w:t>10. Authority states and promotion</w:t>
      </w:r>
    </w:p>
    <w:p>
      <w:r>
        <w:t>GCL separates existence from authority. A GCL object exists so it can be inherited, mutated, traced, repaired, projected, or quarantined. It does not become true merely because it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511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U_scope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Unscoped or exploratory. Interesting but not tight enough yet.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Important but unresolved. Preserve it, but do not promote it.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V_scope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Locally valid under an explicitly declared scope.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REVIEWED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Review or audit receipts exist.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CANONICAL_LEAN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Formal theorem/spec receipt exists and builds.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QUARANTINE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Unsafe, overbroad, misleading, or category-error prone.</w:t>
            </w:r>
          </w:p>
        </w:tc>
      </w:tr>
    </w:tbl>
    <w:p>
      <w:pPr>
        <w:pStyle w:val="Heading1"/>
      </w:pPr>
      <w:r>
        <w:t>11. Minimal implementation target</w:t>
      </w:r>
    </w:p>
    <w:p>
      <w:r>
        <w:t>The first executable implementation should stay small. It should validate the shared surface without pretending to encode every regime at once.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Phase 1:</w:t>
        <w:br/>
        <w:t xml:space="preserve">  Stack-native GCL object validator</w:t>
        <w:br/>
        <w:br/>
        <w:t>Phase 2:</w:t>
        <w:br/>
        <w:t xml:space="preserve">  Alias discipline and provenance validator</w:t>
        <w:br/>
        <w:br/>
        <w:t>Phase 3:</w:t>
        <w:br/>
        <w:t xml:space="preserve">  Algorithmic-GCL AST observation packet validator</w:t>
        <w:br/>
        <w:br/>
        <w:t>Phase 4:</w:t>
        <w:br/>
        <w:t xml:space="preserve">  Bio-GCL as external-source / analogy-bounded objects</w:t>
      </w:r>
    </w:p>
    <w:p>
      <w:pPr>
        <w:pStyle w:val="Heading1"/>
      </w:pPr>
      <w:r>
        <w:t>12. Warden rules for the combined surface</w:t>
      </w:r>
    </w:p>
    <w:p>
      <w:pPr>
        <w:pStyle w:val="ListBullet"/>
      </w:pPr>
      <w:r>
        <w:t>If a biological analogy is written as biological evidence without external receipts, emit bio_overclaim and block promotion.</w:t>
      </w:r>
    </w:p>
    <w:p>
      <w:pPr>
        <w:pStyle w:val="ListBullet"/>
      </w:pPr>
      <w:r>
        <w:t>If two aliases collapse distinct meanings without provenance or a recovery path, emit alias_boundary_blur and block promotion.</w:t>
      </w:r>
    </w:p>
    <w:p>
      <w:pPr>
        <w:pStyle w:val="ListBullet"/>
      </w:pPr>
      <w:r>
        <w:t>If a projection is used as proof, emit projection_proof_confusion and block promotion.</w:t>
      </w:r>
    </w:p>
    <w:p>
      <w:pPr>
        <w:pStyle w:val="ListBullet"/>
      </w:pPr>
      <w:r>
        <w:t>If an algorithmic collapse lacks behavior-preserving tests, mark HOLD and require TestReceipt.</w:t>
      </w:r>
    </w:p>
    <w:p>
      <w:pPr>
        <w:pStyle w:val="ListBullet"/>
      </w:pPr>
      <w:r>
        <w:t>If recursive abstraction lacks a reverse-collapse target, emit recursive_abstraction_without_ground and block promotion.</w:t>
      </w:r>
    </w:p>
    <w:p>
      <w:pPr>
        <w:pStyle w:val="ListBullet"/>
      </w:pPr>
      <w:r>
        <w:t>If canonical computation uses floats in a fixed-point hot path, emit fixed_point_violation and block promotion.</w:t>
      </w:r>
    </w:p>
    <w:p>
      <w:pPr>
        <w:pStyle w:val="Heading1"/>
      </w:pPr>
      <w:r>
        <w:t>13. Working object template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CombinedGCLCodingObject = {</w:t>
        <w:br/>
        <w:t xml:space="preserve">  gcl_id,</w:t>
        <w:br/>
        <w:t xml:space="preserve">  preferred_name,</w:t>
        <w:br/>
        <w:t xml:space="preserve">  aliases,</w:t>
        <w:br/>
        <w:t xml:space="preserve">  coding_variant,</w:t>
        <w:br/>
        <w:t xml:space="preserve">  kind,</w:t>
        <w:br/>
        <w:t xml:space="preserve">  claim_state,</w:t>
        <w:br/>
        <w:t xml:space="preserve">  authority_scope,</w:t>
        <w:br/>
        <w:t xml:space="preserve">  definition,</w:t>
        <w:br/>
        <w:t xml:space="preserve">  genotype,</w:t>
        <w:br/>
        <w:t xml:space="preserve">  expression,</w:t>
        <w:br/>
        <w:t xml:space="preserve">  expansion_slots,</w:t>
        <w:br/>
        <w:t xml:space="preserve">  gates,</w:t>
        <w:br/>
        <w:t xml:space="preserve">  receipts,</w:t>
        <w:br/>
        <w:t xml:space="preserve">  projections,</w:t>
        <w:br/>
        <w:t xml:space="preserve">  mutation_history,</w:t>
        <w:br/>
        <w:t xml:space="preserve">  repair_paths,</w:t>
        <w:br/>
        <w:t xml:space="preserve">  blocked_usages</w:t>
        <w:br/>
        <w:t>}</w:t>
      </w:r>
    </w:p>
    <w:p>
      <w:pPr>
        <w:pStyle w:val="Heading1"/>
      </w:pPr>
      <w:r>
        <w:t>14. Source document anchors</w:t>
      </w:r>
    </w:p>
    <w:p>
      <w:r>
        <w:t>This export consolidates the current GCL approach from the following Research Stack documents and working doctrines:</w:t>
      </w:r>
    </w:p>
    <w:p>
      <w:pPr>
        <w:pStyle w:val="ListBullet"/>
      </w:pPr>
      <w:r>
        <w:t>docs/gcl/GCLCompleteSurface.md</w:t>
      </w:r>
    </w:p>
    <w:p>
      <w:pPr>
        <w:pStyle w:val="ListBullet"/>
      </w:pPr>
      <w:r>
        <w:t>docs/gcl/GCLCombinedCodingSurface.md</w:t>
      </w:r>
    </w:p>
    <w:p>
      <w:pPr>
        <w:pStyle w:val="ListBullet"/>
      </w:pPr>
      <w:r>
        <w:t>docs/gcl/MassNumberGCLSubset.md</w:t>
      </w:r>
    </w:p>
    <w:p>
      <w:pPr>
        <w:pStyle w:val="ListBullet"/>
      </w:pPr>
      <w:r>
        <w:t>docs/gcl/CompressionDeltaPhiGammaLambdaDoctrine.md</w:t>
      </w:r>
    </w:p>
    <w:p>
      <w:pPr>
        <w:pStyle w:val="ListBullet"/>
      </w:pPr>
      <w:r>
        <w:t>docs/gcl/MassNumberSurfaceTranslation.md</w:t>
      </w:r>
    </w:p>
    <w:p>
      <w:pPr>
        <w:pStyle w:val="ListBullet"/>
      </w:pPr>
      <w:r>
        <w:t>docs/gcl/MassNumberRecursionWarning.md</w:t>
      </w:r>
    </w:p>
    <w:p>
      <w:pPr>
        <w:pStyle w:val="ListBullet"/>
      </w:pPr>
      <w:r>
        <w:t>docs/gcl/EquationForestActiveKernels.md</w:t>
      </w:r>
    </w:p>
    <w:p>
      <w:pPr>
        <w:pStyle w:val="ListBullet"/>
      </w:pPr>
      <w:r>
        <w:t>docs/wiki/NotationNomenclatureRegistry.md</w:t>
      </w:r>
    </w:p>
    <w:p>
      <w:pPr>
        <w:pStyle w:val="Heading1"/>
      </w:pPr>
      <w:r>
        <w:t>15. Compact doctrine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Compact doctrine</w:t>
            </w:r>
          </w:p>
        </w:tc>
        <w:tc>
          <w:tcPr>
            <w:tcW w:type="dxa" w:w="5112"/>
            <w:shd w:fill="EAF2F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Every code becomes GCL only after it declares its unit, expression, mutation, repair, gate, projection, and receipt. GCL allows many coding regimes to share a surface, but Warden prevents them from sharing authority unless their evidence, closure, and reverse-collapse paths match.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173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