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AFBC" w14:textId="77777777" w:rsidR="00815D08" w:rsidRPr="00815D08" w:rsidRDefault="00815D08" w:rsidP="00973878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5D08">
        <w:rPr>
          <w:rFonts w:ascii="Times New Roman" w:hAnsi="Times New Roman" w:cs="Times New Roman"/>
          <w:b/>
          <w:bCs/>
          <w:sz w:val="32"/>
          <w:szCs w:val="32"/>
        </w:rPr>
        <w:t xml:space="preserve">DS-A5 | Time-Series Rolling Evaluation </w:t>
      </w:r>
      <w:r w:rsidRPr="00815D08">
        <w:rPr>
          <w:rFonts w:ascii="Times New Roman" w:hAnsi="Times New Roman" w:cs="Times New Roman"/>
          <w:b/>
          <w:bCs/>
          <w:spacing w:val="-5"/>
          <w:sz w:val="32"/>
          <w:szCs w:val="32"/>
        </w:rPr>
        <w:t>Lab</w:t>
      </w:r>
    </w:p>
    <w:p w14:paraId="6D9E6AFC" w14:textId="4E7F4C23" w:rsidR="00815D08" w:rsidRDefault="00815D08" w:rsidP="00973878">
      <w:pPr>
        <w:pStyle w:val="BodyText"/>
        <w:spacing w:before="0" w:line="360" w:lineRule="auto"/>
        <w:ind w:left="35" w:right="222"/>
        <w:jc w:val="both"/>
        <w:rPr>
          <w:rFonts w:ascii="Times New Roman" w:hAnsi="Times New Roman" w:cs="Times New Roman"/>
          <w:sz w:val="24"/>
          <w:szCs w:val="24"/>
        </w:rPr>
      </w:pPr>
      <w:r w:rsidRPr="00815D08">
        <w:rPr>
          <w:rFonts w:ascii="Times New Roman" w:hAnsi="Times New Roman" w:cs="Times New Roman"/>
          <w:b/>
          <w:sz w:val="24"/>
          <w:szCs w:val="24"/>
        </w:rPr>
        <w:t>Purpose</w:t>
      </w:r>
      <w:r w:rsidR="00973878">
        <w:rPr>
          <w:rFonts w:ascii="Times New Roman" w:hAnsi="Times New Roman" w:cs="Times New Roman"/>
          <w:b/>
          <w:sz w:val="24"/>
          <w:szCs w:val="24"/>
        </w:rPr>
        <w:t>:</w:t>
      </w:r>
      <w:r w:rsidRPr="00815D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This guide demonstrates temporal evaluation mechanics on a separate synthetic daily-demand task. The assessment itself</w:t>
      </w:r>
      <w:r w:rsidRPr="00815D0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requires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the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student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to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choose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a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real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dataset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and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justify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its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temporal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boundaries,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critical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period,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and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operational</w:t>
      </w:r>
      <w:r w:rsidRPr="00815D08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policy.</w:t>
      </w:r>
    </w:p>
    <w:p w14:paraId="5C33EC69" w14:textId="1D894A02" w:rsidR="002E5480" w:rsidRDefault="00667E32" w:rsidP="00973878">
      <w:pPr>
        <w:pStyle w:val="BodyText"/>
        <w:spacing w:before="0" w:line="360" w:lineRule="auto"/>
        <w:ind w:left="35" w:right="2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Origin data </w:t>
      </w:r>
      <w:r w:rsidR="00973878">
        <w:rPr>
          <w:rFonts w:ascii="Times New Roman" w:hAnsi="Times New Roman" w:cs="Times New Roman"/>
          <w:b/>
          <w:sz w:val="24"/>
          <w:szCs w:val="24"/>
        </w:rPr>
        <w:t>website</w:t>
      </w:r>
      <w:r w:rsidR="002E5480">
        <w:rPr>
          <w:rFonts w:ascii="Times New Roman" w:hAnsi="Times New Roman" w:cs="Times New Roman"/>
          <w:b/>
          <w:sz w:val="24"/>
          <w:szCs w:val="24"/>
        </w:rPr>
        <w:t>:</w:t>
      </w:r>
      <w:r w:rsidR="002E5480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2E5480" w:rsidRPr="00246BDE">
          <w:rPr>
            <w:rStyle w:val="Hyperlink"/>
            <w:rFonts w:ascii="Times New Roman" w:hAnsi="Times New Roman" w:cs="Times New Roman"/>
            <w:sz w:val="24"/>
            <w:szCs w:val="24"/>
          </w:rPr>
          <w:t>https://archive.ics.uci.edu/dataset/321/electricityloaddiagrams20112014</w:t>
        </w:r>
      </w:hyperlink>
      <w:r w:rsidR="002E5480">
        <w:rPr>
          <w:rFonts w:ascii="Times New Roman" w:hAnsi="Times New Roman" w:cs="Times New Roman"/>
          <w:sz w:val="24"/>
          <w:szCs w:val="24"/>
        </w:rPr>
        <w:t xml:space="preserve"> and </w:t>
      </w:r>
      <w:hyperlink r:id="rId6" w:history="1">
        <w:r w:rsidR="002E5480" w:rsidRPr="00246BDE">
          <w:rPr>
            <w:rStyle w:val="Hyperlink"/>
            <w:rFonts w:ascii="Times New Roman" w:hAnsi="Times New Roman" w:cs="Times New Roman"/>
            <w:sz w:val="24"/>
            <w:szCs w:val="24"/>
          </w:rPr>
          <w:t>https://forecastingdata.org/</w:t>
        </w:r>
      </w:hyperlink>
    </w:p>
    <w:p w14:paraId="717B2E4B" w14:textId="71C67815" w:rsidR="00815D08" w:rsidRPr="00815D08" w:rsidRDefault="00815D08" w:rsidP="00973878">
      <w:pPr>
        <w:spacing w:before="120" w:line="360" w:lineRule="auto"/>
        <w:ind w:left="35" w:right="222"/>
        <w:jc w:val="both"/>
        <w:rPr>
          <w:rFonts w:ascii="Times New Roman" w:hAnsi="Times New Roman" w:cs="Times New Roman"/>
        </w:rPr>
      </w:pPr>
      <w:r w:rsidRPr="00815D08">
        <w:rPr>
          <w:rFonts w:ascii="Times New Roman" w:hAnsi="Times New Roman" w:cs="Times New Roman"/>
          <w:b/>
        </w:rPr>
        <w:t>Data provenance</w:t>
      </w:r>
      <w:r w:rsidR="00973878">
        <w:rPr>
          <w:rFonts w:ascii="Times New Roman" w:hAnsi="Times New Roman" w:cs="Times New Roman"/>
          <w:b/>
        </w:rPr>
        <w:t>:</w:t>
      </w:r>
      <w:r w:rsidRPr="00815D08">
        <w:rPr>
          <w:rFonts w:ascii="Times New Roman" w:hAnsi="Times New Roman" w:cs="Times New Roman"/>
          <w:b/>
        </w:rPr>
        <w:t xml:space="preserve"> </w:t>
      </w:r>
      <w:r w:rsidRPr="00815D08">
        <w:rPr>
          <w:rFonts w:ascii="Times New Roman" w:hAnsi="Times New Roman" w:cs="Times New Roman"/>
        </w:rPr>
        <w:t>720 synthetic daily rows, generated using seed 2026. Local CSV SHA-256: dcfbc7cc577864da600cecd328795a1291d95fdf541c657ec2efcbfcb92e8250. A level shift and increased noise are deliberately injected at index 480;</w:t>
      </w:r>
    </w:p>
    <w:p w14:paraId="1DABF10E" w14:textId="77777777" w:rsidR="00815D08" w:rsidRPr="00815D08" w:rsidRDefault="00815D08" w:rsidP="00973878">
      <w:pPr>
        <w:pStyle w:val="Heading1"/>
        <w:spacing w:before="82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15D0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Frozen demonstration </w:t>
      </w:r>
      <w:r w:rsidRPr="00815D08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protocol</w:t>
      </w:r>
    </w:p>
    <w:p w14:paraId="684B58A9" w14:textId="5784E4C8" w:rsidR="00815D08" w:rsidRPr="00815D08" w:rsidRDefault="00815D08" w:rsidP="00973878">
      <w:pPr>
        <w:pStyle w:val="BodyText"/>
        <w:spacing w:before="0" w:line="360" w:lineRule="auto"/>
        <w:ind w:firstLineChars="200" w:firstLine="4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5D08">
        <w:rPr>
          <w:rFonts w:ascii="Times New Roman" w:hAnsi="Times New Roman" w:cs="Times New Roman"/>
          <w:sz w:val="24"/>
          <w:szCs w:val="24"/>
        </w:rPr>
        <w:t>Six expanding rolling origins (indices 360, 420, 480, 540, 600, 660), each with a 30-day horizon. Candidates: persistence, 7-day</w:t>
      </w:r>
      <w:r w:rsidRPr="00815D0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seasonal naive, and a Ridge lag model. Each fold fits imputation and scaling only on that fold's training window. Features use lags and</w:t>
      </w:r>
      <w:r w:rsidRPr="00815D0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rolling statistics ending at t</w:t>
      </w:r>
      <w:r>
        <w:rPr>
          <w:rFonts w:ascii="Times New Roman" w:hAnsi="Times New Roman" w:cs="Times New Roman"/>
          <w:sz w:val="24"/>
          <w:szCs w:val="24"/>
        </w:rPr>
        <w:t>‒</w:t>
      </w:r>
      <w:r w:rsidRPr="00815D08">
        <w:rPr>
          <w:rFonts w:ascii="Times New Roman" w:hAnsi="Times New Roman" w:cs="Times New Roman"/>
          <w:sz w:val="24"/>
          <w:szCs w:val="24"/>
        </w:rPr>
        <w:t>1.</w:t>
      </w:r>
    </w:p>
    <w:p w14:paraId="2D953C8A" w14:textId="64A9AC06" w:rsidR="00815D08" w:rsidRPr="00815D08" w:rsidRDefault="00815D08" w:rsidP="007F0008">
      <w:pPr>
        <w:pStyle w:val="BodyText"/>
        <w:spacing w:before="124" w:line="360" w:lineRule="auto"/>
        <w:ind w:left="35" w:right="4"/>
        <w:jc w:val="both"/>
        <w:rPr>
          <w:rFonts w:ascii="Times New Roman" w:hAnsi="Times New Roman" w:cs="Times New Roman"/>
          <w:sz w:val="24"/>
          <w:szCs w:val="24"/>
        </w:rPr>
      </w:pPr>
      <w:r w:rsidRPr="00815D08">
        <w:rPr>
          <w:rFonts w:ascii="Times New Roman" w:hAnsi="Times New Roman" w:cs="Times New Roman"/>
          <w:b/>
          <w:sz w:val="24"/>
          <w:szCs w:val="24"/>
        </w:rPr>
        <w:t xml:space="preserve">What is not decided </w:t>
      </w:r>
      <w:r>
        <w:rPr>
          <w:rFonts w:ascii="Times New Roman" w:hAnsi="Times New Roman" w:cs="Times New Roman"/>
          <w:b/>
          <w:sz w:val="24"/>
          <w:szCs w:val="24"/>
        </w:rPr>
        <w:t>here</w:t>
      </w:r>
      <w:r w:rsidRPr="00815D08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here </w:t>
      </w:r>
      <w:r w:rsidR="007F0008">
        <w:rPr>
          <w:rFonts w:ascii="Times New Roman" w:hAnsi="Times New Roman" w:cs="Times New Roman"/>
          <w:sz w:val="24"/>
          <w:szCs w:val="24"/>
        </w:rPr>
        <w:t xml:space="preserve">is </w:t>
      </w:r>
      <w:r w:rsidRPr="00815D08">
        <w:rPr>
          <w:rFonts w:ascii="Times New Roman" w:hAnsi="Times New Roman" w:cs="Times New Roman"/>
          <w:sz w:val="24"/>
          <w:szCs w:val="24"/>
        </w:rPr>
        <w:t>your assessed dataset, feature/label reporting delays, target and horizon, real rolling origins,</w:t>
      </w:r>
      <w:r w:rsidRPr="00815D0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critical-period rule, primary metric, drift trigger, retraining condition, fallback, and final claim boundary.</w:t>
      </w:r>
    </w:p>
    <w:p w14:paraId="415744D5" w14:textId="0D606476" w:rsidR="00815D08" w:rsidRPr="00815D08" w:rsidRDefault="002E5480" w:rsidP="002E5480">
      <w:pPr>
        <w:pStyle w:val="BodyText"/>
        <w:spacing w:before="124" w:line="273" w:lineRule="auto"/>
        <w:ind w:left="35" w:right="9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5FAAFF9" wp14:editId="0521331E">
            <wp:extent cx="5943600" cy="2658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C575" w14:textId="07B4D26B" w:rsidR="00815D08" w:rsidRPr="002E5480" w:rsidRDefault="00815D08" w:rsidP="002E5480">
      <w:pPr>
        <w:spacing w:beforeLines="50" w:before="120" w:afterLines="50" w:after="120" w:line="240" w:lineRule="auto"/>
        <w:contextualSpacing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2E5480">
        <w:rPr>
          <w:rFonts w:ascii="Times New Roman" w:hAnsi="Times New Roman" w:cs="Times New Roman"/>
          <w:b/>
          <w:bCs/>
          <w:color w:val="444444"/>
          <w:sz w:val="21"/>
          <w:szCs w:val="21"/>
        </w:rPr>
        <w:t xml:space="preserve">Figure 1. Synthetic series with deliberately injected shift; used only to illustrate the evaluation </w:t>
      </w:r>
      <w:r w:rsidRPr="002E5480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>design.</w:t>
      </w:r>
    </w:p>
    <w:p w14:paraId="70A96AB2" w14:textId="77777777" w:rsidR="00815D08" w:rsidRPr="002E5480" w:rsidRDefault="00815D08" w:rsidP="002E5480">
      <w:pPr>
        <w:pStyle w:val="Heading1"/>
        <w:numPr>
          <w:ilvl w:val="0"/>
          <w:numId w:val="1"/>
        </w:numPr>
        <w:tabs>
          <w:tab w:val="left" w:pos="290"/>
        </w:tabs>
        <w:spacing w:beforeLines="50" w:before="120" w:afterLines="50" w:after="12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548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Rolling-origin </w:t>
      </w:r>
      <w:r w:rsidRPr="002E5480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performance</w:t>
      </w:r>
    </w:p>
    <w:p w14:paraId="3336F545" w14:textId="334A89B6" w:rsidR="00815D08" w:rsidRPr="00815D08" w:rsidRDefault="002E5480" w:rsidP="0097387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91E02A" wp14:editId="65C0607E">
            <wp:extent cx="5247717" cy="2758416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804" cy="27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C977" w14:textId="7CE80727" w:rsidR="00815D08" w:rsidRPr="002E5480" w:rsidRDefault="00815D08" w:rsidP="002E5480">
      <w:pPr>
        <w:spacing w:beforeLines="50" w:before="120" w:afterLines="50" w:after="120" w:line="240" w:lineRule="auto"/>
        <w:contextualSpacing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 w:rsidRPr="002E5480">
        <w:rPr>
          <w:rFonts w:ascii="Times New Roman" w:hAnsi="Times New Roman" w:cs="Times New Roman"/>
          <w:b/>
          <w:bCs/>
          <w:color w:val="444444"/>
          <w:sz w:val="21"/>
          <w:szCs w:val="21"/>
        </w:rPr>
        <w:t>Figure 2. Mean absolute error by origin. A single overall mean can hide time-local degradation, so inspect fold-level metrics and raw predictions.</w:t>
      </w:r>
    </w:p>
    <w:p w14:paraId="09B59D2C" w14:textId="77777777" w:rsidR="00815D08" w:rsidRDefault="00815D08" w:rsidP="002E5480">
      <w:pPr>
        <w:spacing w:beforeLines="50" w:before="120" w:afterLines="50" w:after="120" w:line="240" w:lineRule="auto"/>
        <w:contextualSpacing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</w:p>
    <w:p w14:paraId="7E686FA0" w14:textId="20627828" w:rsidR="002E5480" w:rsidRPr="002E5480" w:rsidRDefault="002E5480" w:rsidP="00973878">
      <w:pPr>
        <w:spacing w:beforeLines="50" w:before="120" w:afterLines="50" w:after="120" w:line="240" w:lineRule="auto"/>
        <w:contextualSpacing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color w:val="444444"/>
          <w:sz w:val="21"/>
          <w:szCs w:val="21"/>
        </w:rPr>
        <w:drawing>
          <wp:inline distT="0" distB="0" distL="0" distR="0" wp14:anchorId="7CA865CD" wp14:editId="4818429D">
            <wp:extent cx="5189977" cy="2319964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58" cy="23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C5BD" w14:textId="444F324C" w:rsidR="00973878" w:rsidRPr="002E5480" w:rsidRDefault="00815D08" w:rsidP="002E5480">
      <w:pPr>
        <w:spacing w:beforeLines="50" w:before="120" w:afterLines="50" w:after="120" w:line="240" w:lineRule="auto"/>
        <w:contextualSpacing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 w:rsidRPr="002E5480">
        <w:rPr>
          <w:rFonts w:ascii="Times New Roman" w:hAnsi="Times New Roman" w:cs="Times New Roman"/>
          <w:b/>
          <w:bCs/>
          <w:color w:val="444444"/>
          <w:sz w:val="21"/>
          <w:szCs w:val="21"/>
        </w:rPr>
        <w:t>Figure 3. Absolute errors over time. For a real assignment, identify the critical period using a predeclared rule and connect it to observable evidence rather than selecting it only because errors look dramatic.</w:t>
      </w:r>
    </w:p>
    <w:p w14:paraId="29757F40" w14:textId="77777777" w:rsidR="00815D08" w:rsidRPr="002E5480" w:rsidRDefault="00815D08" w:rsidP="00815D08">
      <w:pPr>
        <w:pStyle w:val="Heading1"/>
        <w:spacing w:before="1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5480">
        <w:rPr>
          <w:rFonts w:ascii="Times New Roman" w:hAnsi="Times New Roman" w:cs="Times New Roman"/>
          <w:b/>
          <w:bCs/>
          <w:color w:val="16365D"/>
          <w:sz w:val="24"/>
          <w:szCs w:val="24"/>
        </w:rPr>
        <w:t xml:space="preserve">Demonstration </w:t>
      </w:r>
      <w:proofErr w:type="gramStart"/>
      <w:r w:rsidRPr="002E5480">
        <w:rPr>
          <w:rFonts w:ascii="Times New Roman" w:hAnsi="Times New Roman" w:cs="Times New Roman"/>
          <w:b/>
          <w:bCs/>
          <w:color w:val="16365D"/>
          <w:sz w:val="24"/>
          <w:szCs w:val="24"/>
        </w:rPr>
        <w:t>mean</w:t>
      </w:r>
      <w:proofErr w:type="gramEnd"/>
      <w:r w:rsidRPr="002E5480">
        <w:rPr>
          <w:rFonts w:ascii="Times New Roman" w:hAnsi="Times New Roman" w:cs="Times New Roman"/>
          <w:b/>
          <w:bCs/>
          <w:color w:val="16365D"/>
          <w:sz w:val="24"/>
          <w:szCs w:val="24"/>
        </w:rPr>
        <w:t xml:space="preserve"> </w:t>
      </w:r>
      <w:r w:rsidRPr="002E5480">
        <w:rPr>
          <w:rFonts w:ascii="Times New Roman" w:hAnsi="Times New Roman" w:cs="Times New Roman"/>
          <w:b/>
          <w:bCs/>
          <w:color w:val="16365D"/>
          <w:spacing w:val="-2"/>
          <w:sz w:val="24"/>
          <w:szCs w:val="24"/>
        </w:rPr>
        <w:t>metrics</w:t>
      </w:r>
    </w:p>
    <w:p w14:paraId="18705B91" w14:textId="178811FF" w:rsidR="00815D08" w:rsidRDefault="00815D08" w:rsidP="002E5480">
      <w:pPr>
        <w:pStyle w:val="BodyText"/>
        <w:spacing w:before="0" w:line="360" w:lineRule="auto"/>
        <w:ind w:firstLineChars="200" w:firstLine="4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E5480">
        <w:rPr>
          <w:rFonts w:ascii="Times New Roman" w:hAnsi="Times New Roman" w:cs="Times New Roman"/>
          <w:sz w:val="24"/>
          <w:szCs w:val="24"/>
        </w:rPr>
        <w:t>These metrics only describe this generated toy series. They must not be presented as findings about the student's real dataset.</w:t>
      </w:r>
    </w:p>
    <w:tbl>
      <w:tblPr>
        <w:tblW w:w="0" w:type="auto"/>
        <w:tblInd w:w="857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1984"/>
        <w:gridCol w:w="1984"/>
      </w:tblGrid>
      <w:tr w:rsidR="00973878" w14:paraId="3C8BE9B5" w14:textId="77777777" w:rsidTr="0006471E">
        <w:trPr>
          <w:trHeight w:val="350"/>
        </w:trPr>
        <w:tc>
          <w:tcPr>
            <w:tcW w:w="4252" w:type="dxa"/>
            <w:shd w:val="clear" w:color="auto" w:fill="16365D"/>
          </w:tcPr>
          <w:p w14:paraId="65329976" w14:textId="77777777" w:rsidR="00973878" w:rsidRDefault="00973878" w:rsidP="0006471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Model</w:t>
            </w:r>
          </w:p>
        </w:tc>
        <w:tc>
          <w:tcPr>
            <w:tcW w:w="1984" w:type="dxa"/>
            <w:shd w:val="clear" w:color="auto" w:fill="16365D"/>
          </w:tcPr>
          <w:p w14:paraId="61361FF4" w14:textId="77777777" w:rsidR="00973878" w:rsidRDefault="00973878" w:rsidP="0006471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Mean </w:t>
            </w:r>
            <w:r>
              <w:rPr>
                <w:b/>
                <w:color w:val="FFFFFF"/>
                <w:spacing w:val="-5"/>
                <w:sz w:val="16"/>
              </w:rPr>
              <w:t>MAE</w:t>
            </w:r>
          </w:p>
        </w:tc>
        <w:tc>
          <w:tcPr>
            <w:tcW w:w="1984" w:type="dxa"/>
            <w:shd w:val="clear" w:color="auto" w:fill="16365D"/>
          </w:tcPr>
          <w:p w14:paraId="7474B68B" w14:textId="77777777" w:rsidR="00973878" w:rsidRDefault="00973878" w:rsidP="0006471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Mean </w:t>
            </w:r>
            <w:r>
              <w:rPr>
                <w:b/>
                <w:color w:val="FFFFFF"/>
                <w:spacing w:val="-4"/>
                <w:sz w:val="16"/>
              </w:rPr>
              <w:t>RMSE</w:t>
            </w:r>
          </w:p>
        </w:tc>
      </w:tr>
      <w:tr w:rsidR="00973878" w14:paraId="3D02D3C2" w14:textId="77777777" w:rsidTr="0006471E">
        <w:trPr>
          <w:trHeight w:val="350"/>
        </w:trPr>
        <w:tc>
          <w:tcPr>
            <w:tcW w:w="4252" w:type="dxa"/>
          </w:tcPr>
          <w:p w14:paraId="5E919E4B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Persistence</w:t>
            </w:r>
          </w:p>
        </w:tc>
        <w:tc>
          <w:tcPr>
            <w:tcW w:w="1984" w:type="dxa"/>
          </w:tcPr>
          <w:p w14:paraId="13727F69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9.76</w:t>
            </w:r>
          </w:p>
        </w:tc>
        <w:tc>
          <w:tcPr>
            <w:tcW w:w="1984" w:type="dxa"/>
          </w:tcPr>
          <w:p w14:paraId="2A8EA2A8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11.55</w:t>
            </w:r>
          </w:p>
        </w:tc>
      </w:tr>
      <w:tr w:rsidR="00973878" w14:paraId="03946430" w14:textId="77777777" w:rsidTr="0006471E">
        <w:trPr>
          <w:trHeight w:val="350"/>
        </w:trPr>
        <w:tc>
          <w:tcPr>
            <w:tcW w:w="4252" w:type="dxa"/>
            <w:shd w:val="clear" w:color="auto" w:fill="F2F6F9"/>
          </w:tcPr>
          <w:p w14:paraId="30829351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Ridge lag </w:t>
            </w:r>
            <w:r>
              <w:rPr>
                <w:spacing w:val="-2"/>
                <w:sz w:val="16"/>
              </w:rPr>
              <w:t>model</w:t>
            </w:r>
          </w:p>
        </w:tc>
        <w:tc>
          <w:tcPr>
            <w:tcW w:w="1984" w:type="dxa"/>
            <w:shd w:val="clear" w:color="auto" w:fill="F2F6F9"/>
          </w:tcPr>
          <w:p w14:paraId="1C5A5C1A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6.59</w:t>
            </w:r>
          </w:p>
        </w:tc>
        <w:tc>
          <w:tcPr>
            <w:tcW w:w="1984" w:type="dxa"/>
            <w:shd w:val="clear" w:color="auto" w:fill="F2F6F9"/>
          </w:tcPr>
          <w:p w14:paraId="518C0479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8.17</w:t>
            </w:r>
          </w:p>
        </w:tc>
      </w:tr>
      <w:tr w:rsidR="00973878" w14:paraId="41A201CB" w14:textId="77777777" w:rsidTr="0006471E">
        <w:trPr>
          <w:trHeight w:val="350"/>
        </w:trPr>
        <w:tc>
          <w:tcPr>
            <w:tcW w:w="4252" w:type="dxa"/>
          </w:tcPr>
          <w:p w14:paraId="6ED42AD3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Seasonal naive </w:t>
            </w:r>
            <w:r>
              <w:rPr>
                <w:spacing w:val="-4"/>
                <w:sz w:val="16"/>
              </w:rPr>
              <w:t>(7d)</w:t>
            </w:r>
          </w:p>
        </w:tc>
        <w:tc>
          <w:tcPr>
            <w:tcW w:w="1984" w:type="dxa"/>
          </w:tcPr>
          <w:p w14:paraId="5C7BD2FE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8.15</w:t>
            </w:r>
          </w:p>
        </w:tc>
        <w:tc>
          <w:tcPr>
            <w:tcW w:w="1984" w:type="dxa"/>
          </w:tcPr>
          <w:p w14:paraId="155A3B4F" w14:textId="77777777" w:rsidR="00973878" w:rsidRDefault="00973878" w:rsidP="0006471E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10.19</w:t>
            </w:r>
          </w:p>
        </w:tc>
      </w:tr>
    </w:tbl>
    <w:p w14:paraId="76DC0622" w14:textId="77777777" w:rsidR="00815D08" w:rsidRPr="002E5480" w:rsidRDefault="00815D08" w:rsidP="002E5480">
      <w:pPr>
        <w:pStyle w:val="Heading1"/>
        <w:numPr>
          <w:ilvl w:val="0"/>
          <w:numId w:val="1"/>
        </w:numPr>
        <w:tabs>
          <w:tab w:val="left" w:pos="290"/>
        </w:tabs>
        <w:spacing w:beforeLines="50" w:before="120" w:afterLines="50" w:after="12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548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What the shift does to forecasts</w:t>
      </w:r>
    </w:p>
    <w:p w14:paraId="27BD1012" w14:textId="2012B6A0" w:rsidR="00815D08" w:rsidRPr="00815D08" w:rsidRDefault="00973878" w:rsidP="00973878">
      <w:pPr>
        <w:spacing w:before="229"/>
        <w:ind w:left="3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F4D1E6" wp14:editId="03895F43">
            <wp:extent cx="5943600" cy="2651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109C" w14:textId="3F9FFF3E" w:rsidR="00815D08" w:rsidRPr="002E5480" w:rsidRDefault="00815D08" w:rsidP="002E5480">
      <w:pPr>
        <w:spacing w:beforeLines="50" w:before="120" w:afterLines="50" w:after="120" w:line="240" w:lineRule="auto"/>
        <w:contextualSpacing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 w:rsidRPr="002E5480">
        <w:rPr>
          <w:rFonts w:ascii="Times New Roman" w:hAnsi="Times New Roman" w:cs="Times New Roman"/>
          <w:b/>
          <w:bCs/>
          <w:color w:val="444444"/>
          <w:sz w:val="21"/>
          <w:szCs w:val="21"/>
        </w:rPr>
        <w:t>Figure 4. Forecasts around the deliberately injected level/noise shift. A lag model cannot know about an unannounced future level change unless the change is represented in information available at forecast time.</w:t>
      </w:r>
    </w:p>
    <w:p w14:paraId="3063942B" w14:textId="77777777" w:rsidR="00815D08" w:rsidRDefault="00815D08" w:rsidP="00815D08">
      <w:pPr>
        <w:spacing w:line="249" w:lineRule="auto"/>
        <w:ind w:left="35"/>
        <w:jc w:val="both"/>
        <w:rPr>
          <w:rFonts w:ascii="Times New Roman" w:hAnsi="Times New Roman" w:cs="Times New Roman"/>
          <w:color w:val="444444"/>
        </w:rPr>
      </w:pPr>
    </w:p>
    <w:p w14:paraId="2BBB7EB8" w14:textId="38FE2495" w:rsidR="00973878" w:rsidRPr="00815D08" w:rsidRDefault="00973878" w:rsidP="00973878">
      <w:pPr>
        <w:spacing w:line="249" w:lineRule="auto"/>
        <w:ind w:left="35"/>
        <w:jc w:val="center"/>
        <w:rPr>
          <w:rFonts w:ascii="Times New Roman" w:hAnsi="Times New Roman" w:cs="Times New Roman"/>
          <w:color w:val="444444"/>
        </w:rPr>
      </w:pPr>
      <w:r>
        <w:rPr>
          <w:rFonts w:ascii="Times New Roman" w:hAnsi="Times New Roman" w:cs="Times New Roman"/>
          <w:noProof/>
          <w:color w:val="444444"/>
        </w:rPr>
        <w:drawing>
          <wp:inline distT="0" distB="0" distL="0" distR="0" wp14:anchorId="08CE274C" wp14:editId="36E8F11D">
            <wp:extent cx="5943600" cy="3549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33BE" w14:textId="0ECA25BC" w:rsidR="00815D08" w:rsidRPr="002E5480" w:rsidRDefault="00815D08" w:rsidP="002E5480">
      <w:pPr>
        <w:spacing w:beforeLines="50" w:before="120" w:afterLines="50" w:after="120" w:line="240" w:lineRule="auto"/>
        <w:contextualSpacing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 w:rsidRPr="002E5480">
        <w:rPr>
          <w:rFonts w:ascii="Times New Roman" w:hAnsi="Times New Roman" w:cs="Times New Roman"/>
          <w:b/>
          <w:bCs/>
          <w:color w:val="444444"/>
          <w:sz w:val="21"/>
          <w:szCs w:val="21"/>
        </w:rPr>
        <w:t>Figure 5. Ridge absolute error before and after the injected shift. Treat period comparisons cautiously: folds, sample counts, seasonal composition, and overlapping forecast windows can affect interpretation.</w:t>
      </w:r>
    </w:p>
    <w:p w14:paraId="410F6876" w14:textId="77777777" w:rsidR="00815D08" w:rsidRPr="00973878" w:rsidRDefault="00815D08" w:rsidP="00815D08">
      <w:pPr>
        <w:pStyle w:val="Heading1"/>
        <w:spacing w:before="106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7387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Temporal leakage checks to </w:t>
      </w:r>
      <w:r w:rsidRPr="00973878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adapt</w:t>
      </w:r>
    </w:p>
    <w:p w14:paraId="7DDA76E0" w14:textId="3CEB0EEB" w:rsidR="00815D08" w:rsidRPr="00815D08" w:rsidRDefault="00815D08" w:rsidP="002E5480">
      <w:pPr>
        <w:pStyle w:val="BodyText"/>
        <w:spacing w:before="0" w:line="360" w:lineRule="auto"/>
        <w:ind w:firstLineChars="200" w:firstLine="4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5D08">
        <w:rPr>
          <w:rFonts w:ascii="Times New Roman" w:hAnsi="Times New Roman" w:cs="Times New Roman"/>
          <w:sz w:val="24"/>
          <w:szCs w:val="24"/>
        </w:rPr>
        <w:t>For each origin, verify that all training labels were actually available by that origin—not merely that their event timestamps are earlier.</w:t>
      </w:r>
      <w:r w:rsidRPr="002E5480">
        <w:rPr>
          <w:rFonts w:ascii="Times New Roman" w:hAnsi="Times New Roman" w:cs="Times New Roman"/>
          <w:sz w:val="24"/>
          <w:szCs w:val="24"/>
        </w:rPr>
        <w:t xml:space="preserve"> </w:t>
      </w:r>
      <w:r w:rsidRPr="00815D08">
        <w:rPr>
          <w:rFonts w:ascii="Times New Roman" w:hAnsi="Times New Roman" w:cs="Times New Roman"/>
          <w:sz w:val="24"/>
          <w:szCs w:val="24"/>
        </w:rPr>
        <w:t>Feature values must also have been published/received by the origin. Rolling statistics must exclude the target timestamp.</w:t>
      </w:r>
    </w:p>
    <w:sectPr w:rsidR="00815D08" w:rsidRPr="00815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487F8D"/>
    <w:multiLevelType w:val="hybridMultilevel"/>
    <w:tmpl w:val="51827522"/>
    <w:lvl w:ilvl="0" w:tplc="F2EE2CD2">
      <w:start w:val="1"/>
      <w:numFmt w:val="decimal"/>
      <w:lvlText w:val="%1."/>
      <w:lvlJc w:val="left"/>
      <w:pPr>
        <w:ind w:left="290" w:hanging="256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3"/>
        <w:szCs w:val="23"/>
        <w:lang w:val="en-US" w:eastAsia="en-US" w:bidi="ar-SA"/>
      </w:rPr>
    </w:lvl>
    <w:lvl w:ilvl="1" w:tplc="C014448C">
      <w:start w:val="1"/>
      <w:numFmt w:val="decimal"/>
      <w:lvlText w:val="%2."/>
      <w:lvlJc w:val="left"/>
      <w:pPr>
        <w:ind w:left="217" w:hanging="1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1C1810B0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3" w:tplc="A142D7E2">
      <w:numFmt w:val="bullet"/>
      <w:lvlText w:val="•"/>
      <w:lvlJc w:val="left"/>
      <w:pPr>
        <w:ind w:left="2438" w:hanging="183"/>
      </w:pPr>
      <w:rPr>
        <w:rFonts w:hint="default"/>
        <w:lang w:val="en-US" w:eastAsia="en-US" w:bidi="ar-SA"/>
      </w:rPr>
    </w:lvl>
    <w:lvl w:ilvl="4" w:tplc="7136C3F4">
      <w:numFmt w:val="bullet"/>
      <w:lvlText w:val="•"/>
      <w:lvlJc w:val="left"/>
      <w:pPr>
        <w:ind w:left="3507" w:hanging="183"/>
      </w:pPr>
      <w:rPr>
        <w:rFonts w:hint="default"/>
        <w:lang w:val="en-US" w:eastAsia="en-US" w:bidi="ar-SA"/>
      </w:rPr>
    </w:lvl>
    <w:lvl w:ilvl="5" w:tplc="DBFCD9A2">
      <w:numFmt w:val="bullet"/>
      <w:lvlText w:val="•"/>
      <w:lvlJc w:val="left"/>
      <w:pPr>
        <w:ind w:left="4576" w:hanging="183"/>
      </w:pPr>
      <w:rPr>
        <w:rFonts w:hint="default"/>
        <w:lang w:val="en-US" w:eastAsia="en-US" w:bidi="ar-SA"/>
      </w:rPr>
    </w:lvl>
    <w:lvl w:ilvl="6" w:tplc="BE38011E">
      <w:numFmt w:val="bullet"/>
      <w:lvlText w:val="•"/>
      <w:lvlJc w:val="left"/>
      <w:pPr>
        <w:ind w:left="5645" w:hanging="183"/>
      </w:pPr>
      <w:rPr>
        <w:rFonts w:hint="default"/>
        <w:lang w:val="en-US" w:eastAsia="en-US" w:bidi="ar-SA"/>
      </w:rPr>
    </w:lvl>
    <w:lvl w:ilvl="7" w:tplc="52DACCE2">
      <w:numFmt w:val="bullet"/>
      <w:lvlText w:val="•"/>
      <w:lvlJc w:val="left"/>
      <w:pPr>
        <w:ind w:left="6714" w:hanging="183"/>
      </w:pPr>
      <w:rPr>
        <w:rFonts w:hint="default"/>
        <w:lang w:val="en-US" w:eastAsia="en-US" w:bidi="ar-SA"/>
      </w:rPr>
    </w:lvl>
    <w:lvl w:ilvl="8" w:tplc="B614A728">
      <w:numFmt w:val="bullet"/>
      <w:lvlText w:val="•"/>
      <w:lvlJc w:val="left"/>
      <w:pPr>
        <w:ind w:left="7783" w:hanging="183"/>
      </w:pPr>
      <w:rPr>
        <w:rFonts w:hint="default"/>
        <w:lang w:val="en-US" w:eastAsia="en-US" w:bidi="ar-SA"/>
      </w:rPr>
    </w:lvl>
  </w:abstractNum>
  <w:num w:numId="1" w16cid:durableId="179274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08"/>
    <w:rsid w:val="002E5480"/>
    <w:rsid w:val="0041230E"/>
    <w:rsid w:val="00667E32"/>
    <w:rsid w:val="007F0008"/>
    <w:rsid w:val="00815D08"/>
    <w:rsid w:val="00973878"/>
    <w:rsid w:val="00AE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8659"/>
  <w15:chartTrackingRefBased/>
  <w15:docId w15:val="{222C3EB9-4FC5-4707-932C-B4B650ED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0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15D08"/>
    <w:pPr>
      <w:widowControl w:val="0"/>
      <w:autoSpaceDE w:val="0"/>
      <w:autoSpaceDN w:val="0"/>
      <w:spacing w:before="135" w:after="0" w:line="240" w:lineRule="auto"/>
    </w:pPr>
    <w:rPr>
      <w:rFonts w:ascii="Arial" w:eastAsia="Arial" w:hAnsi="Arial" w:cs="Arial"/>
      <w:kern w:val="0"/>
      <w:sz w:val="16"/>
      <w:szCs w:val="16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15D08"/>
    <w:rPr>
      <w:rFonts w:ascii="Arial" w:eastAsia="Arial" w:hAnsi="Arial" w:cs="Arial"/>
      <w:kern w:val="0"/>
      <w:sz w:val="16"/>
      <w:szCs w:val="16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E5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480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73878"/>
    <w:pPr>
      <w:widowControl w:val="0"/>
      <w:autoSpaceDE w:val="0"/>
      <w:autoSpaceDN w:val="0"/>
      <w:spacing w:before="65" w:after="0" w:line="240" w:lineRule="auto"/>
      <w:ind w:left="118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ecastingdata.org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rchive.ics.uci.edu/dataset/321/electricityloaddiagrams20112014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Salvador</dc:creator>
  <cp:keywords/>
  <dc:description/>
  <cp:lastModifiedBy>Juan Salvador</cp:lastModifiedBy>
  <cp:revision>3</cp:revision>
  <dcterms:created xsi:type="dcterms:W3CDTF">2026-10-26T09:37:00Z</dcterms:created>
  <dcterms:modified xsi:type="dcterms:W3CDTF">2026-10-26T12:25:00Z</dcterms:modified>
</cp:coreProperties>
</file>