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89812" w14:textId="41F97BDD" w:rsidR="004E6E12" w:rsidRDefault="004E6E12" w:rsidP="004E6E12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pacing w:val="-2"/>
          <w:sz w:val="32"/>
          <w:szCs w:val="32"/>
        </w:rPr>
      </w:pPr>
      <w:r w:rsidRPr="004E6E12">
        <w:rPr>
          <w:rFonts w:ascii="Times New Roman" w:hAnsi="Times New Roman" w:cs="Times New Roman"/>
          <w:b/>
          <w:bCs/>
          <w:sz w:val="32"/>
          <w:szCs w:val="32"/>
        </w:rPr>
        <w:t xml:space="preserve">DS-A6 | Causal Claim and Sensitivity </w:t>
      </w:r>
      <w:r w:rsidRPr="004E6E12">
        <w:rPr>
          <w:rFonts w:ascii="Times New Roman" w:hAnsi="Times New Roman" w:cs="Times New Roman"/>
          <w:b/>
          <w:bCs/>
          <w:spacing w:val="-2"/>
          <w:sz w:val="32"/>
          <w:szCs w:val="32"/>
        </w:rPr>
        <w:t>Analysis</w:t>
      </w:r>
    </w:p>
    <w:p w14:paraId="0CD7F023" w14:textId="4BA78223" w:rsidR="009836EB" w:rsidRDefault="009836EB" w:rsidP="009836EB">
      <w:pPr>
        <w:jc w:val="center"/>
        <w:rPr>
          <w:rFonts w:ascii="Times New Roman" w:hAnsi="Times New Roman" w:cs="Times New Roman"/>
        </w:rPr>
      </w:pPr>
      <w:r w:rsidRPr="009836EB">
        <w:rPr>
          <w:rFonts w:ascii="Times New Roman" w:hAnsi="Times New Roman" w:cs="Times New Roman"/>
        </w:rPr>
        <w:t xml:space="preserve">Access Git-Hub: </w:t>
      </w:r>
      <w:hyperlink r:id="rId5" w:history="1">
        <w:r w:rsidRPr="000F0EBC">
          <w:rPr>
            <w:rStyle w:val="Hyperlink"/>
            <w:rFonts w:ascii="Times New Roman" w:hAnsi="Times New Roman" w:cs="Times New Roman"/>
          </w:rPr>
          <w:t>https://github.com/alldeolove10-SJ/2026A8000531008_DEONISIO-YOHANES-WILFRIDUS-HORNAY_DS_A6_Causal-Claim-and-Sensitivity-Analysis</w:t>
        </w:r>
      </w:hyperlink>
    </w:p>
    <w:p w14:paraId="578EE01A" w14:textId="49717C29" w:rsidR="004E6E12" w:rsidRDefault="004E6E12" w:rsidP="004E6E12">
      <w:pPr>
        <w:pStyle w:val="BodyText"/>
        <w:spacing w:line="360" w:lineRule="auto"/>
        <w:ind w:left="35" w:right="4"/>
        <w:jc w:val="both"/>
        <w:rPr>
          <w:rFonts w:ascii="Times New Roman" w:hAnsi="Times New Roman" w:cs="Times New Roman"/>
          <w:sz w:val="24"/>
          <w:szCs w:val="24"/>
        </w:rPr>
      </w:pPr>
      <w:r w:rsidRPr="004E6E12">
        <w:rPr>
          <w:rFonts w:ascii="Times New Roman" w:hAnsi="Times New Roman" w:cs="Times New Roman"/>
          <w:b/>
          <w:sz w:val="24"/>
          <w:szCs w:val="24"/>
        </w:rPr>
        <w:t>Purpose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D513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Demonstrate the mechanics of defining a causal estimand, using a DAG to reason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about adjustment, checking an</w:t>
      </w:r>
      <w:r w:rsidRPr="004E6E1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unobserved-confounding threat, and writing a bounded conclusion.</w:t>
      </w:r>
    </w:p>
    <w:p w14:paraId="61104973" w14:textId="7C21835B" w:rsidR="004E6E12" w:rsidRDefault="004E6E12" w:rsidP="004E6E12">
      <w:pPr>
        <w:pStyle w:val="BodyText"/>
        <w:spacing w:line="360" w:lineRule="auto"/>
        <w:ind w:left="35"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Original data source website: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246BDE">
          <w:rPr>
            <w:rStyle w:val="Hyperlink"/>
            <w:rFonts w:ascii="Times New Roman" w:hAnsi="Times New Roman" w:cs="Times New Roman"/>
            <w:sz w:val="24"/>
            <w:szCs w:val="24"/>
          </w:rPr>
          <w:t>https://users.nber.org/~rdehejia/data/.nswdata2.html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and </w:t>
      </w:r>
      <w:hyperlink r:id="rId7" w:history="1">
        <w:r w:rsidRPr="00246BDE">
          <w:rPr>
            <w:rStyle w:val="Hyperlink"/>
            <w:rFonts w:ascii="Times New Roman" w:hAnsi="Times New Roman" w:cs="Times New Roman"/>
            <w:sz w:val="24"/>
            <w:szCs w:val="24"/>
          </w:rPr>
          <w:t>https://rctvsobs.org/dataset/female-lalonde</w:t>
        </w:r>
      </w:hyperlink>
    </w:p>
    <w:p w14:paraId="1F381F23" w14:textId="77777777" w:rsidR="004E6E12" w:rsidRPr="004E6E12" w:rsidRDefault="004E6E12" w:rsidP="004E6E12">
      <w:pPr>
        <w:spacing w:before="121" w:line="360" w:lineRule="auto"/>
        <w:ind w:left="35" w:right="4"/>
        <w:jc w:val="both"/>
        <w:rPr>
          <w:rFonts w:ascii="Times New Roman" w:hAnsi="Times New Roman" w:cs="Times New Roman"/>
        </w:rPr>
      </w:pPr>
      <w:r w:rsidRPr="004E6E12">
        <w:rPr>
          <w:rFonts w:ascii="Times New Roman" w:hAnsi="Times New Roman" w:cs="Times New Roman"/>
          <w:b/>
        </w:rPr>
        <w:t xml:space="preserve">Data provenance. </w:t>
      </w:r>
      <w:r w:rsidRPr="004E6E12">
        <w:rPr>
          <w:rFonts w:ascii="Times New Roman" w:hAnsi="Times New Roman" w:cs="Times New Roman"/>
        </w:rPr>
        <w:t>2400 synthetic rows generated with seed 6042. SHA-256: 5121872846dfeeb667659dbbab9d20f5a9416dbc5adaa0adb46196cc7b961729. The data generator intentionally includes a true +3-point tutoring effect, measured confounders, an unobserved motivation factor, a post-treatment mediator, and a pre-treatment negative-control</w:t>
      </w:r>
      <w:r w:rsidRPr="004E6E12">
        <w:rPr>
          <w:rFonts w:ascii="Times New Roman" w:hAnsi="Times New Roman" w:cs="Times New Roman"/>
          <w:spacing w:val="40"/>
        </w:rPr>
        <w:t xml:space="preserve"> </w:t>
      </w:r>
      <w:r w:rsidRPr="004E6E12">
        <w:rPr>
          <w:rFonts w:ascii="Times New Roman" w:hAnsi="Times New Roman" w:cs="Times New Roman"/>
          <w:spacing w:val="-2"/>
        </w:rPr>
        <w:t>outcome.</w:t>
      </w:r>
    </w:p>
    <w:p w14:paraId="470F4573" w14:textId="77777777" w:rsidR="004E6E12" w:rsidRPr="00D51366" w:rsidRDefault="004E6E12" w:rsidP="00D51366">
      <w:pPr>
        <w:pStyle w:val="Heading1"/>
        <w:numPr>
          <w:ilvl w:val="0"/>
          <w:numId w:val="1"/>
        </w:numPr>
        <w:tabs>
          <w:tab w:val="left" w:pos="290"/>
        </w:tabs>
        <w:spacing w:beforeLines="50" w:before="120" w:afterLines="50" w:after="12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513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Example causal </w:t>
      </w:r>
      <w:r w:rsidRPr="00D513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structure</w:t>
      </w:r>
    </w:p>
    <w:p w14:paraId="1C6B927F" w14:textId="35911216" w:rsidR="00D51366" w:rsidRDefault="003A07A1" w:rsidP="003A07A1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color w:val="444444"/>
          <w:sz w:val="21"/>
          <w:szCs w:val="21"/>
        </w:rPr>
        <w:drawing>
          <wp:inline distT="0" distB="0" distL="0" distR="0" wp14:anchorId="196FA797" wp14:editId="33839E86">
            <wp:extent cx="5537988" cy="325120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258" cy="327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89E" w14:textId="699F3971" w:rsidR="004E6E12" w:rsidRPr="00D51366" w:rsidRDefault="004E6E12" w:rsidP="00D51366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1.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Illustrative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DAG.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Prior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score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and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family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support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are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measured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common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causes;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motivation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is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unobserved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and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affects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treatment</w:t>
      </w:r>
      <w:r w:rsidRPr="00D51366">
        <w:rPr>
          <w:rFonts w:ascii="Times New Roman" w:hAnsi="Times New Roman" w:cs="Times New Roman"/>
          <w:b/>
          <w:bCs/>
          <w:color w:val="444444"/>
          <w:spacing w:val="-2"/>
          <w:sz w:val="21"/>
          <w:szCs w:val="21"/>
        </w:rPr>
        <w:t xml:space="preserve"> </w:t>
      </w: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and outcome; study hours is post-treatment mediator; selection can become a collider if conditioned on.</w:t>
      </w:r>
    </w:p>
    <w:p w14:paraId="583AC767" w14:textId="77777777" w:rsidR="004E6E12" w:rsidRPr="00D51366" w:rsidRDefault="004E6E12" w:rsidP="00D51366">
      <w:pPr>
        <w:pStyle w:val="Heading1"/>
        <w:spacing w:beforeLines="50" w:before="120" w:afterLines="50" w:after="120" w:line="240" w:lineRule="auto"/>
        <w:contextualSpacing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5136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Identification </w:t>
      </w:r>
      <w:r w:rsidRPr="00D51366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warning</w:t>
      </w:r>
    </w:p>
    <w:p w14:paraId="630983DA" w14:textId="298049EA" w:rsidR="004E6E12" w:rsidRPr="004E6E12" w:rsidRDefault="004E6E12" w:rsidP="003A07A1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E6E12">
        <w:rPr>
          <w:rFonts w:ascii="Times New Roman" w:hAnsi="Times New Roman" w:cs="Times New Roman"/>
          <w:sz w:val="24"/>
          <w:szCs w:val="24"/>
        </w:rPr>
        <w:t>Adjustment for observed pre-treatment covariates does not by itself establish exchangeability when motivation remains unobserved. The</w:t>
      </w:r>
      <w:r w:rsidRPr="004E6E12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example is useful because the data-generating mechanism is known to the author; in real observational data, that mechanism is not</w:t>
      </w:r>
      <w:r w:rsidRPr="004E6E12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known. If assumptions are not defensible, downgrade the conclusion to association.</w:t>
      </w:r>
    </w:p>
    <w:p w14:paraId="12406CDB" w14:textId="77777777" w:rsidR="004E6E12" w:rsidRPr="00D51366" w:rsidRDefault="004E6E12" w:rsidP="00D51366">
      <w:pPr>
        <w:pStyle w:val="Heading1"/>
        <w:numPr>
          <w:ilvl w:val="0"/>
          <w:numId w:val="1"/>
        </w:numPr>
        <w:tabs>
          <w:tab w:val="left" w:pos="290"/>
        </w:tabs>
        <w:spacing w:beforeLines="50" w:before="120" w:afterLines="50" w:after="12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51366">
        <w:rPr>
          <w:rFonts w:ascii="Times New Roman" w:hAnsi="Times New Roman" w:cs="Times New Roman"/>
          <w:b/>
          <w:bCs/>
          <w:color w:val="auto"/>
          <w:sz w:val="28"/>
          <w:szCs w:val="28"/>
        </w:rPr>
        <w:t>Estimates and counterexamples</w:t>
      </w:r>
    </w:p>
    <w:p w14:paraId="5906FF7D" w14:textId="78DEB05D" w:rsidR="003A07A1" w:rsidRDefault="003A07A1" w:rsidP="00D51366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color w:val="444444"/>
          <w:sz w:val="21"/>
          <w:szCs w:val="21"/>
        </w:rPr>
        <w:drawing>
          <wp:inline distT="0" distB="0" distL="0" distR="0" wp14:anchorId="1220E948" wp14:editId="1779B78F">
            <wp:extent cx="5943600" cy="3419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BFE9" w14:textId="39A0631C" w:rsidR="004E6E12" w:rsidRPr="00D51366" w:rsidRDefault="004E6E12" w:rsidP="00D51366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 2. Estimated treatment coefficient under different adjustment sets. Including post-treatment study hours changes the estimand and can block part of the total effect; this fit is a diagnostic comparison, not the preferred total-effect estimate.</w:t>
      </w:r>
    </w:p>
    <w:tbl>
      <w:tblPr>
        <w:tblW w:w="0" w:type="auto"/>
        <w:jc w:val="center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2"/>
        <w:gridCol w:w="1417"/>
        <w:gridCol w:w="2381"/>
      </w:tblGrid>
      <w:tr w:rsidR="004E6E12" w:rsidRPr="004E6E12" w14:paraId="5480A6AC" w14:textId="77777777" w:rsidTr="00D51366">
        <w:trPr>
          <w:trHeight w:val="350"/>
          <w:jc w:val="center"/>
        </w:trPr>
        <w:tc>
          <w:tcPr>
            <w:tcW w:w="4932" w:type="dxa"/>
            <w:shd w:val="clear" w:color="auto" w:fill="16365D"/>
          </w:tcPr>
          <w:p w14:paraId="1855A996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417" w:type="dxa"/>
            <w:shd w:val="clear" w:color="auto" w:fill="16365D"/>
          </w:tcPr>
          <w:p w14:paraId="29579657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Estimate</w:t>
            </w:r>
          </w:p>
        </w:tc>
        <w:tc>
          <w:tcPr>
            <w:tcW w:w="2381" w:type="dxa"/>
            <w:shd w:val="clear" w:color="auto" w:fill="16365D"/>
          </w:tcPr>
          <w:p w14:paraId="202F5FF3" w14:textId="77777777" w:rsidR="004E6E12" w:rsidRPr="004E6E12" w:rsidRDefault="004E6E12" w:rsidP="004E6E12">
            <w:pPr>
              <w:pStyle w:val="TableParagraph"/>
              <w:spacing w:line="360" w:lineRule="auto"/>
              <w:ind w:left="11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95%</w:t>
            </w:r>
            <w:r w:rsidRPr="004E6E12">
              <w:rPr>
                <w:rFonts w:ascii="Times New Roman" w:hAnsi="Times New Roman" w:cs="Times New Roman"/>
                <w:b/>
                <w:color w:val="FFFFFF"/>
                <w:spacing w:val="6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CI</w:t>
            </w:r>
          </w:p>
        </w:tc>
      </w:tr>
      <w:tr w:rsidR="004E6E12" w:rsidRPr="004E6E12" w14:paraId="7A47A969" w14:textId="77777777" w:rsidTr="00D51366">
        <w:trPr>
          <w:trHeight w:val="350"/>
          <w:jc w:val="center"/>
        </w:trPr>
        <w:tc>
          <w:tcPr>
            <w:tcW w:w="4932" w:type="dxa"/>
          </w:tcPr>
          <w:p w14:paraId="6686F391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Unadjusted</w:t>
            </w:r>
            <w:r w:rsidRPr="004E6E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association</w:t>
            </w:r>
          </w:p>
        </w:tc>
        <w:tc>
          <w:tcPr>
            <w:tcW w:w="1417" w:type="dxa"/>
          </w:tcPr>
          <w:p w14:paraId="623AEEC5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6.59</w:t>
            </w:r>
          </w:p>
        </w:tc>
        <w:tc>
          <w:tcPr>
            <w:tcW w:w="2381" w:type="dxa"/>
          </w:tcPr>
          <w:p w14:paraId="09E6E764" w14:textId="77777777" w:rsidR="004E6E12" w:rsidRPr="004E6E12" w:rsidRDefault="004E6E12" w:rsidP="004E6E12">
            <w:pPr>
              <w:pStyle w:val="TableParagraph"/>
              <w:spacing w:line="360" w:lineRule="auto"/>
              <w:ind w:left="1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[5.77,</w:t>
            </w:r>
            <w:r w:rsidRPr="004E6E1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7.40]</w:t>
            </w:r>
          </w:p>
        </w:tc>
      </w:tr>
      <w:tr w:rsidR="004E6E12" w:rsidRPr="004E6E12" w14:paraId="4F9D09B9" w14:textId="77777777" w:rsidTr="00D51366">
        <w:trPr>
          <w:trHeight w:val="350"/>
          <w:jc w:val="center"/>
        </w:trPr>
        <w:tc>
          <w:tcPr>
            <w:tcW w:w="4932" w:type="dxa"/>
            <w:shd w:val="clear" w:color="auto" w:fill="F2F6F9"/>
          </w:tcPr>
          <w:p w14:paraId="2A3B294A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Adjusted</w:t>
            </w:r>
            <w:r w:rsidRPr="004E6E1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E6E1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pre-treatment</w:t>
            </w:r>
            <w:r w:rsidRPr="004E6E1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covariates</w:t>
            </w:r>
          </w:p>
        </w:tc>
        <w:tc>
          <w:tcPr>
            <w:tcW w:w="1417" w:type="dxa"/>
            <w:shd w:val="clear" w:color="auto" w:fill="F2F6F9"/>
          </w:tcPr>
          <w:p w14:paraId="3AABD75F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3.70</w:t>
            </w:r>
          </w:p>
        </w:tc>
        <w:tc>
          <w:tcPr>
            <w:tcW w:w="2381" w:type="dxa"/>
            <w:shd w:val="clear" w:color="auto" w:fill="F2F6F9"/>
          </w:tcPr>
          <w:p w14:paraId="6D722908" w14:textId="77777777" w:rsidR="004E6E12" w:rsidRPr="004E6E12" w:rsidRDefault="004E6E12" w:rsidP="004E6E12">
            <w:pPr>
              <w:pStyle w:val="TableParagraph"/>
              <w:spacing w:line="360" w:lineRule="auto"/>
              <w:ind w:left="1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[3.11,</w:t>
            </w:r>
            <w:r w:rsidRPr="004E6E1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4.29]</w:t>
            </w:r>
          </w:p>
        </w:tc>
      </w:tr>
      <w:tr w:rsidR="004E6E12" w:rsidRPr="004E6E12" w14:paraId="10730AEB" w14:textId="77777777" w:rsidTr="00D51366">
        <w:trPr>
          <w:trHeight w:val="350"/>
          <w:jc w:val="center"/>
        </w:trPr>
        <w:tc>
          <w:tcPr>
            <w:tcW w:w="4932" w:type="dxa"/>
          </w:tcPr>
          <w:p w14:paraId="568AD4C0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4E6E1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post-treatment</w:t>
            </w:r>
            <w:r w:rsidRPr="004E6E1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mediator</w:t>
            </w:r>
            <w:r w:rsidRPr="004E6E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(diagnostic</w:t>
            </w:r>
            <w:r w:rsidRPr="004E6E1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only)</w:t>
            </w:r>
          </w:p>
        </w:tc>
        <w:tc>
          <w:tcPr>
            <w:tcW w:w="1417" w:type="dxa"/>
          </w:tcPr>
          <w:p w14:paraId="27109BB9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3.20</w:t>
            </w:r>
          </w:p>
        </w:tc>
        <w:tc>
          <w:tcPr>
            <w:tcW w:w="2381" w:type="dxa"/>
          </w:tcPr>
          <w:p w14:paraId="4332D71B" w14:textId="77777777" w:rsidR="004E6E12" w:rsidRPr="004E6E12" w:rsidRDefault="004E6E12" w:rsidP="004E6E12">
            <w:pPr>
              <w:pStyle w:val="TableParagraph"/>
              <w:spacing w:line="360" w:lineRule="auto"/>
              <w:ind w:left="1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[2.60,</w:t>
            </w:r>
            <w:r w:rsidRPr="004E6E1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3.80]</w:t>
            </w:r>
          </w:p>
        </w:tc>
      </w:tr>
      <w:tr w:rsidR="004E6E12" w:rsidRPr="004E6E12" w14:paraId="574DE1C6" w14:textId="77777777" w:rsidTr="00D51366">
        <w:trPr>
          <w:trHeight w:val="350"/>
          <w:jc w:val="center"/>
        </w:trPr>
        <w:tc>
          <w:tcPr>
            <w:tcW w:w="4932" w:type="dxa"/>
            <w:shd w:val="clear" w:color="auto" w:fill="F2F6F9"/>
          </w:tcPr>
          <w:p w14:paraId="28768043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Negative-control</w:t>
            </w:r>
            <w:r w:rsidRPr="004E6E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outcome:</w:t>
            </w:r>
            <w:r w:rsidRPr="004E6E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pre-treatment</w:t>
            </w:r>
            <w:r w:rsidRPr="004E6E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quiz</w:t>
            </w:r>
          </w:p>
        </w:tc>
        <w:tc>
          <w:tcPr>
            <w:tcW w:w="1417" w:type="dxa"/>
            <w:shd w:val="clear" w:color="auto" w:fill="F2F6F9"/>
          </w:tcPr>
          <w:p w14:paraId="6523483B" w14:textId="77777777" w:rsidR="004E6E12" w:rsidRPr="004E6E12" w:rsidRDefault="004E6E12" w:rsidP="004E6E12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1.41</w:t>
            </w:r>
          </w:p>
        </w:tc>
        <w:tc>
          <w:tcPr>
            <w:tcW w:w="2381" w:type="dxa"/>
            <w:shd w:val="clear" w:color="auto" w:fill="F2F6F9"/>
          </w:tcPr>
          <w:p w14:paraId="1596DAA0" w14:textId="77777777" w:rsidR="004E6E12" w:rsidRPr="004E6E12" w:rsidRDefault="004E6E12" w:rsidP="004E6E12">
            <w:pPr>
              <w:pStyle w:val="TableParagraph"/>
              <w:spacing w:line="360" w:lineRule="auto"/>
              <w:ind w:left="1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6E12">
              <w:rPr>
                <w:rFonts w:ascii="Times New Roman" w:hAnsi="Times New Roman" w:cs="Times New Roman"/>
                <w:sz w:val="24"/>
                <w:szCs w:val="24"/>
              </w:rPr>
              <w:t>[0.87,</w:t>
            </w:r>
            <w:r w:rsidRPr="004E6E1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4E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1.95]</w:t>
            </w:r>
          </w:p>
        </w:tc>
      </w:tr>
    </w:tbl>
    <w:p w14:paraId="780D5495" w14:textId="29DB42FE" w:rsidR="004E6E12" w:rsidRPr="00D51366" w:rsidRDefault="004E6E12" w:rsidP="00D51366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E6E12">
        <w:rPr>
          <w:rFonts w:ascii="Times New Roman" w:hAnsi="Times New Roman" w:cs="Times New Roman"/>
          <w:sz w:val="24"/>
          <w:szCs w:val="24"/>
        </w:rPr>
        <w:t xml:space="preserve">The pre-treatment negative-control outcome should not be caused by future tutoring. A </w:t>
      </w:r>
      <w:r w:rsidRPr="004E6E12">
        <w:rPr>
          <w:rFonts w:ascii="Times New Roman" w:hAnsi="Times New Roman" w:cs="Times New Roman"/>
          <w:sz w:val="24"/>
          <w:szCs w:val="24"/>
        </w:rPr>
        <w:lastRenderedPageBreak/>
        <w:t>nonzero adjusted association is a warning signal</w:t>
      </w:r>
      <w:r w:rsidRPr="00D51366">
        <w:rPr>
          <w:rFonts w:ascii="Times New Roman" w:hAnsi="Times New Roman" w:cs="Times New Roman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for residual confounding, measurement problems, or model misspecification; it is not a mechanical proof of exactly how much bias</w:t>
      </w:r>
      <w:r w:rsidRPr="00D51366">
        <w:rPr>
          <w:rFonts w:ascii="Times New Roman" w:hAnsi="Times New Roman" w:cs="Times New Roman"/>
          <w:sz w:val="24"/>
          <w:szCs w:val="24"/>
        </w:rPr>
        <w:t xml:space="preserve"> remains.</w:t>
      </w:r>
    </w:p>
    <w:p w14:paraId="6BE56D1E" w14:textId="77777777" w:rsidR="004E6E12" w:rsidRPr="004E6E12" w:rsidRDefault="004E6E12" w:rsidP="004E6E12">
      <w:pPr>
        <w:pStyle w:val="BodyText"/>
        <w:spacing w:before="1" w:line="360" w:lineRule="auto"/>
        <w:ind w:left="35" w:right="188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54B45EB7" w14:textId="77777777" w:rsidR="004E6E12" w:rsidRPr="00D51366" w:rsidRDefault="004E6E12" w:rsidP="00D51366">
      <w:pPr>
        <w:pStyle w:val="Heading1"/>
        <w:numPr>
          <w:ilvl w:val="0"/>
          <w:numId w:val="1"/>
        </w:numPr>
        <w:tabs>
          <w:tab w:val="left" w:pos="290"/>
        </w:tabs>
        <w:spacing w:beforeLines="50" w:before="120" w:afterLines="50" w:after="120" w:line="240" w:lineRule="auto"/>
        <w:ind w:left="0" w:firstLine="0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51366">
        <w:rPr>
          <w:rFonts w:ascii="Times New Roman" w:hAnsi="Times New Roman" w:cs="Times New Roman"/>
          <w:b/>
          <w:bCs/>
          <w:color w:val="auto"/>
          <w:sz w:val="28"/>
          <w:szCs w:val="28"/>
        </w:rPr>
        <w:t>Sensitivity analysis</w:t>
      </w:r>
    </w:p>
    <w:p w14:paraId="0F53ECF4" w14:textId="5E1B3179" w:rsidR="003A07A1" w:rsidRDefault="003A07A1" w:rsidP="00D51366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color w:val="444444"/>
          <w:sz w:val="21"/>
          <w:szCs w:val="21"/>
        </w:rPr>
        <w:drawing>
          <wp:inline distT="0" distB="0" distL="0" distR="0" wp14:anchorId="5445E531" wp14:editId="38313985">
            <wp:extent cx="5449038" cy="3115733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729" cy="312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DBAC" w14:textId="217136E6" w:rsidR="004E6E12" w:rsidRPr="00D51366" w:rsidRDefault="004E6E12" w:rsidP="00D51366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 3. Illustrative bias-shift curve. The x-axis is an assumed omitted-variable bias in score-point units; the adjusted estimate and interval are shifted by that assumed amount. This transparent teaching device is not a universal sensitivity estimator and its bias range must be justified in a real study.</w:t>
      </w:r>
    </w:p>
    <w:p w14:paraId="7D040DFE" w14:textId="565B9AFD" w:rsidR="004E6E12" w:rsidRPr="00D51366" w:rsidRDefault="00BB006F" w:rsidP="00D51366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color w:val="444444"/>
          <w:sz w:val="21"/>
          <w:szCs w:val="21"/>
        </w:rPr>
        <w:lastRenderedPageBreak/>
        <w:drawing>
          <wp:inline distT="0" distB="0" distL="0" distR="0" wp14:anchorId="1355B3F5" wp14:editId="70DBB810">
            <wp:extent cx="5271135" cy="301400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159" cy="302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E611" w14:textId="60E1659D" w:rsidR="004E6E12" w:rsidRPr="00D51366" w:rsidRDefault="004E6E12" w:rsidP="00D51366">
      <w:pPr>
        <w:spacing w:line="360" w:lineRule="auto"/>
        <w:ind w:left="35" w:right="75"/>
        <w:jc w:val="center"/>
        <w:rPr>
          <w:rFonts w:ascii="Times New Roman" w:hAnsi="Times New Roman" w:cs="Times New Roman"/>
          <w:b/>
          <w:bCs/>
          <w:color w:val="444444"/>
          <w:sz w:val="21"/>
          <w:szCs w:val="21"/>
        </w:rPr>
      </w:pPr>
      <w:r w:rsidRPr="00D51366">
        <w:rPr>
          <w:rFonts w:ascii="Times New Roman" w:hAnsi="Times New Roman" w:cs="Times New Roman"/>
          <w:b/>
          <w:bCs/>
          <w:color w:val="444444"/>
          <w:sz w:val="21"/>
          <w:szCs w:val="21"/>
        </w:rPr>
        <w:t>Figure 4. Observed outcome distributions by treatment group. Difference in distributions alone is not a causal estimate because treatment assignment is not randomized in this synthetic setup.</w:t>
      </w:r>
    </w:p>
    <w:p w14:paraId="29E58B1C" w14:textId="17D31F2B" w:rsidR="004E6E12" w:rsidRPr="004E6E12" w:rsidRDefault="004E6E12" w:rsidP="004E6E12">
      <w:pPr>
        <w:pStyle w:val="Heading1"/>
        <w:numPr>
          <w:ilvl w:val="0"/>
          <w:numId w:val="1"/>
        </w:numPr>
        <w:tabs>
          <w:tab w:val="left" w:pos="290"/>
        </w:tabs>
        <w:spacing w:line="360" w:lineRule="auto"/>
        <w:ind w:left="35" w:right="4605" w:firstLine="0"/>
        <w:jc w:val="both"/>
        <w:rPr>
          <w:rFonts w:ascii="Times New Roman" w:hAnsi="Times New Roman" w:cs="Times New Roman"/>
          <w:sz w:val="24"/>
          <w:szCs w:val="24"/>
        </w:rPr>
      </w:pPr>
      <w:r w:rsidRPr="00D513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Apply the method to </w:t>
      </w:r>
      <w:r w:rsidR="003A07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my </w:t>
      </w:r>
      <w:r w:rsidRPr="00D51366">
        <w:rPr>
          <w:rFonts w:ascii="Times New Roman" w:hAnsi="Times New Roman" w:cs="Times New Roman"/>
          <w:b/>
          <w:bCs/>
          <w:color w:val="auto"/>
          <w:sz w:val="28"/>
          <w:szCs w:val="28"/>
        </w:rPr>
        <w:t>own DS-A6</w:t>
      </w:r>
      <w:r w:rsidRPr="004E6E12">
        <w:rPr>
          <w:rFonts w:ascii="Times New Roman" w:hAnsi="Times New Roman" w:cs="Times New Roman"/>
          <w:color w:val="16365D"/>
          <w:sz w:val="24"/>
          <w:szCs w:val="24"/>
        </w:rPr>
        <w:t xml:space="preserve"> </w:t>
      </w:r>
    </w:p>
    <w:p w14:paraId="04878153" w14:textId="77777777" w:rsidR="004E6E12" w:rsidRPr="004E6E12" w:rsidRDefault="004E6E12" w:rsidP="003A07A1">
      <w:pPr>
        <w:pStyle w:val="ListParagraph"/>
        <w:widowControl w:val="0"/>
        <w:numPr>
          <w:ilvl w:val="1"/>
          <w:numId w:val="2"/>
        </w:numPr>
        <w:tabs>
          <w:tab w:val="left" w:pos="217"/>
        </w:tabs>
        <w:autoSpaceDE w:val="0"/>
        <w:autoSpaceDN w:val="0"/>
        <w:spacing w:before="26" w:after="0" w:line="360" w:lineRule="auto"/>
        <w:ind w:left="851" w:right="130"/>
        <w:contextualSpacing w:val="0"/>
        <w:jc w:val="both"/>
        <w:rPr>
          <w:rFonts w:ascii="Times New Roman" w:hAnsi="Times New Roman" w:cs="Times New Roman"/>
        </w:rPr>
      </w:pPr>
      <w:r w:rsidRPr="004E6E12">
        <w:rPr>
          <w:rFonts w:ascii="Times New Roman" w:hAnsi="Times New Roman" w:cs="Times New Roman"/>
        </w:rPr>
        <w:t>DAG and assumptions table: show confounders, mediators, colliders, and unobserved variables; justify adjustment and identification</w:t>
      </w:r>
      <w:r w:rsidRPr="004E6E12">
        <w:rPr>
          <w:rFonts w:ascii="Times New Roman" w:hAnsi="Times New Roman" w:cs="Times New Roman"/>
          <w:spacing w:val="40"/>
        </w:rPr>
        <w:t xml:space="preserve"> </w:t>
      </w:r>
      <w:r w:rsidRPr="004E6E12">
        <w:rPr>
          <w:rFonts w:ascii="Times New Roman" w:hAnsi="Times New Roman" w:cs="Times New Roman"/>
          <w:spacing w:val="-2"/>
        </w:rPr>
        <w:t>assumptions.</w:t>
      </w:r>
    </w:p>
    <w:p w14:paraId="5D790546" w14:textId="77777777" w:rsidR="004E6E12" w:rsidRPr="004E6E12" w:rsidRDefault="004E6E12" w:rsidP="003A07A1">
      <w:pPr>
        <w:pStyle w:val="ListParagraph"/>
        <w:widowControl w:val="0"/>
        <w:numPr>
          <w:ilvl w:val="1"/>
          <w:numId w:val="2"/>
        </w:numPr>
        <w:tabs>
          <w:tab w:val="left" w:pos="217"/>
        </w:tabs>
        <w:autoSpaceDE w:val="0"/>
        <w:autoSpaceDN w:val="0"/>
        <w:spacing w:before="1" w:after="0" w:line="360" w:lineRule="auto"/>
        <w:ind w:left="851"/>
        <w:contextualSpacing w:val="0"/>
        <w:jc w:val="both"/>
        <w:rPr>
          <w:rFonts w:ascii="Times New Roman" w:hAnsi="Times New Roman" w:cs="Times New Roman"/>
        </w:rPr>
      </w:pPr>
      <w:r w:rsidRPr="004E6E12">
        <w:rPr>
          <w:rFonts w:ascii="Times New Roman" w:hAnsi="Times New Roman" w:cs="Times New Roman"/>
        </w:rPr>
        <w:t>Analysis</w:t>
      </w:r>
      <w:r w:rsidRPr="004E6E12">
        <w:rPr>
          <w:rFonts w:ascii="Times New Roman" w:hAnsi="Times New Roman" w:cs="Times New Roman"/>
          <w:spacing w:val="11"/>
        </w:rPr>
        <w:t xml:space="preserve"> </w:t>
      </w:r>
      <w:r w:rsidRPr="004E6E12">
        <w:rPr>
          <w:rFonts w:ascii="Times New Roman" w:hAnsi="Times New Roman" w:cs="Times New Roman"/>
        </w:rPr>
        <w:t>code/results:</w:t>
      </w:r>
      <w:r w:rsidRPr="004E6E12">
        <w:rPr>
          <w:rFonts w:ascii="Times New Roman" w:hAnsi="Times New Roman" w:cs="Times New Roman"/>
          <w:spacing w:val="11"/>
        </w:rPr>
        <w:t xml:space="preserve"> </w:t>
      </w:r>
      <w:r w:rsidRPr="004E6E12">
        <w:rPr>
          <w:rFonts w:ascii="Times New Roman" w:hAnsi="Times New Roman" w:cs="Times New Roman"/>
        </w:rPr>
        <w:t>execute</w:t>
      </w:r>
      <w:r w:rsidRPr="004E6E12">
        <w:rPr>
          <w:rFonts w:ascii="Times New Roman" w:hAnsi="Times New Roman" w:cs="Times New Roman"/>
          <w:spacing w:val="12"/>
        </w:rPr>
        <w:t xml:space="preserve"> </w:t>
      </w:r>
      <w:r w:rsidRPr="004E6E12">
        <w:rPr>
          <w:rFonts w:ascii="Times New Roman" w:hAnsi="Times New Roman" w:cs="Times New Roman"/>
        </w:rPr>
        <w:t>one</w:t>
      </w:r>
      <w:r w:rsidRPr="004E6E12">
        <w:rPr>
          <w:rFonts w:ascii="Times New Roman" w:hAnsi="Times New Roman" w:cs="Times New Roman"/>
          <w:spacing w:val="11"/>
        </w:rPr>
        <w:t xml:space="preserve"> </w:t>
      </w:r>
      <w:r w:rsidRPr="004E6E12">
        <w:rPr>
          <w:rFonts w:ascii="Times New Roman" w:hAnsi="Times New Roman" w:cs="Times New Roman"/>
        </w:rPr>
        <w:t>estimate</w:t>
      </w:r>
      <w:r w:rsidRPr="004E6E12">
        <w:rPr>
          <w:rFonts w:ascii="Times New Roman" w:hAnsi="Times New Roman" w:cs="Times New Roman"/>
          <w:spacing w:val="12"/>
        </w:rPr>
        <w:t xml:space="preserve"> </w:t>
      </w:r>
      <w:r w:rsidRPr="004E6E12">
        <w:rPr>
          <w:rFonts w:ascii="Times New Roman" w:hAnsi="Times New Roman" w:cs="Times New Roman"/>
        </w:rPr>
        <w:t>and</w:t>
      </w:r>
      <w:r w:rsidRPr="004E6E12">
        <w:rPr>
          <w:rFonts w:ascii="Times New Roman" w:hAnsi="Times New Roman" w:cs="Times New Roman"/>
          <w:spacing w:val="11"/>
        </w:rPr>
        <w:t xml:space="preserve"> </w:t>
      </w:r>
      <w:r w:rsidRPr="004E6E12">
        <w:rPr>
          <w:rFonts w:ascii="Times New Roman" w:hAnsi="Times New Roman" w:cs="Times New Roman"/>
        </w:rPr>
        <w:t>record</w:t>
      </w:r>
      <w:r w:rsidRPr="004E6E12">
        <w:rPr>
          <w:rFonts w:ascii="Times New Roman" w:hAnsi="Times New Roman" w:cs="Times New Roman"/>
          <w:spacing w:val="12"/>
        </w:rPr>
        <w:t xml:space="preserve"> </w:t>
      </w:r>
      <w:r w:rsidRPr="004E6E12">
        <w:rPr>
          <w:rFonts w:ascii="Times New Roman" w:hAnsi="Times New Roman" w:cs="Times New Roman"/>
          <w:spacing w:val="-2"/>
        </w:rPr>
        <w:t>uncertainty.</w:t>
      </w:r>
    </w:p>
    <w:p w14:paraId="06CC2A25" w14:textId="77777777" w:rsidR="004E6E12" w:rsidRPr="004E6E12" w:rsidRDefault="004E6E12" w:rsidP="003A07A1">
      <w:pPr>
        <w:pStyle w:val="ListParagraph"/>
        <w:widowControl w:val="0"/>
        <w:numPr>
          <w:ilvl w:val="1"/>
          <w:numId w:val="2"/>
        </w:numPr>
        <w:tabs>
          <w:tab w:val="left" w:pos="217"/>
        </w:tabs>
        <w:autoSpaceDE w:val="0"/>
        <w:autoSpaceDN w:val="0"/>
        <w:spacing w:before="26" w:after="0" w:line="360" w:lineRule="auto"/>
        <w:ind w:left="851"/>
        <w:contextualSpacing w:val="0"/>
        <w:jc w:val="both"/>
        <w:rPr>
          <w:rFonts w:ascii="Times New Roman" w:hAnsi="Times New Roman" w:cs="Times New Roman"/>
        </w:rPr>
      </w:pPr>
      <w:r w:rsidRPr="004E6E12">
        <w:rPr>
          <w:rFonts w:ascii="Times New Roman" w:hAnsi="Times New Roman" w:cs="Times New Roman"/>
        </w:rPr>
        <w:t>Sensitivity/refutation</w:t>
      </w:r>
      <w:r w:rsidRPr="004E6E12">
        <w:rPr>
          <w:rFonts w:ascii="Times New Roman" w:hAnsi="Times New Roman" w:cs="Times New Roman"/>
          <w:spacing w:val="12"/>
        </w:rPr>
        <w:t xml:space="preserve"> </w:t>
      </w:r>
      <w:r w:rsidRPr="004E6E12">
        <w:rPr>
          <w:rFonts w:ascii="Times New Roman" w:hAnsi="Times New Roman" w:cs="Times New Roman"/>
        </w:rPr>
        <w:t>evidence: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</w:rPr>
        <w:t>implement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</w:rPr>
        <w:t>sensitivity,</w:t>
      </w:r>
      <w:r w:rsidRPr="004E6E12">
        <w:rPr>
          <w:rFonts w:ascii="Times New Roman" w:hAnsi="Times New Roman" w:cs="Times New Roman"/>
          <w:spacing w:val="12"/>
        </w:rPr>
        <w:t xml:space="preserve"> </w:t>
      </w:r>
      <w:r w:rsidRPr="004E6E12">
        <w:rPr>
          <w:rFonts w:ascii="Times New Roman" w:hAnsi="Times New Roman" w:cs="Times New Roman"/>
        </w:rPr>
        <w:t>negative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</w:rPr>
        <w:t>control,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</w:rPr>
        <w:t>or</w:t>
      </w:r>
      <w:r w:rsidRPr="004E6E12">
        <w:rPr>
          <w:rFonts w:ascii="Times New Roman" w:hAnsi="Times New Roman" w:cs="Times New Roman"/>
          <w:spacing w:val="12"/>
        </w:rPr>
        <w:t xml:space="preserve"> </w:t>
      </w:r>
      <w:r w:rsidRPr="004E6E12">
        <w:rPr>
          <w:rFonts w:ascii="Times New Roman" w:hAnsi="Times New Roman" w:cs="Times New Roman"/>
        </w:rPr>
        <w:t>refutation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</w:rPr>
        <w:t>and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</w:rPr>
        <w:t>include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</w:rPr>
        <w:t>a</w:t>
      </w:r>
      <w:r w:rsidRPr="004E6E12">
        <w:rPr>
          <w:rFonts w:ascii="Times New Roman" w:hAnsi="Times New Roman" w:cs="Times New Roman"/>
          <w:spacing w:val="12"/>
        </w:rPr>
        <w:t xml:space="preserve"> </w:t>
      </w:r>
      <w:r w:rsidRPr="004E6E12">
        <w:rPr>
          <w:rFonts w:ascii="Times New Roman" w:hAnsi="Times New Roman" w:cs="Times New Roman"/>
        </w:rPr>
        <w:t>plausible</w:t>
      </w:r>
      <w:r w:rsidRPr="004E6E12">
        <w:rPr>
          <w:rFonts w:ascii="Times New Roman" w:hAnsi="Times New Roman" w:cs="Times New Roman"/>
          <w:spacing w:val="13"/>
        </w:rPr>
        <w:t xml:space="preserve"> </w:t>
      </w:r>
      <w:r w:rsidRPr="004E6E12">
        <w:rPr>
          <w:rFonts w:ascii="Times New Roman" w:hAnsi="Times New Roman" w:cs="Times New Roman"/>
          <w:spacing w:val="-2"/>
        </w:rPr>
        <w:t>counterexample.</w:t>
      </w:r>
    </w:p>
    <w:p w14:paraId="1A09FA42" w14:textId="77777777" w:rsidR="004E6E12" w:rsidRPr="00BB006F" w:rsidRDefault="004E6E12" w:rsidP="004E6E12">
      <w:pPr>
        <w:pStyle w:val="Heading1"/>
        <w:spacing w:before="82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B006F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Reproduction</w:t>
      </w:r>
    </w:p>
    <w:p w14:paraId="0BD2718C" w14:textId="5D4EF3C7" w:rsidR="004E6E12" w:rsidRPr="004E6E12" w:rsidRDefault="004E6E12" w:rsidP="00D51366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E6E12">
        <w:rPr>
          <w:rFonts w:ascii="Times New Roman" w:hAnsi="Times New Roman" w:cs="Times New Roman"/>
          <w:sz w:val="24"/>
          <w:szCs w:val="24"/>
        </w:rPr>
        <w:t>From the project root run `python</w:t>
      </w:r>
      <w:r w:rsidR="003A07A1">
        <w:rPr>
          <w:rFonts w:ascii="Times New Roman" w:hAnsi="Times New Roman" w:cs="Times New Roman"/>
          <w:sz w:val="24"/>
          <w:szCs w:val="24"/>
        </w:rPr>
        <w:t>-</w:t>
      </w:r>
      <w:r w:rsidRPr="004E6E12">
        <w:rPr>
          <w:rFonts w:ascii="Times New Roman" w:hAnsi="Times New Roman" w:cs="Times New Roman"/>
          <w:sz w:val="24"/>
          <w:szCs w:val="24"/>
        </w:rPr>
        <w:t>m requirements.txt`, then `python src/demo_causal_sensitivity.py`. Keep the raw CSV</w:t>
      </w:r>
      <w:r w:rsidRPr="00D51366">
        <w:rPr>
          <w:rFonts w:ascii="Times New Roman" w:hAnsi="Times New Roman" w:cs="Times New Roman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results</w:t>
      </w:r>
      <w:r w:rsidRPr="00D51366">
        <w:rPr>
          <w:rFonts w:ascii="Times New Roman" w:hAnsi="Times New Roman" w:cs="Times New Roman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and</w:t>
      </w:r>
      <w:r w:rsidRPr="00D51366">
        <w:rPr>
          <w:rFonts w:ascii="Times New Roman" w:hAnsi="Times New Roman" w:cs="Times New Roman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generated</w:t>
      </w:r>
      <w:r w:rsidRPr="00D51366">
        <w:rPr>
          <w:rFonts w:ascii="Times New Roman" w:hAnsi="Times New Roman" w:cs="Times New Roman"/>
          <w:sz w:val="24"/>
          <w:szCs w:val="24"/>
        </w:rPr>
        <w:t xml:space="preserve"> </w:t>
      </w:r>
      <w:r w:rsidRPr="004E6E12">
        <w:rPr>
          <w:rFonts w:ascii="Times New Roman" w:hAnsi="Times New Roman" w:cs="Times New Roman"/>
          <w:sz w:val="24"/>
          <w:szCs w:val="24"/>
        </w:rPr>
        <w:t>figures.</w:t>
      </w:r>
    </w:p>
    <w:p w14:paraId="235ACAD9" w14:textId="77777777" w:rsidR="004E6E12" w:rsidRPr="00BB006F" w:rsidRDefault="004E6E12" w:rsidP="00BB006F">
      <w:pPr>
        <w:pStyle w:val="Heading1"/>
        <w:spacing w:before="82" w:line="360" w:lineRule="auto"/>
        <w:jc w:val="both"/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</w:pPr>
      <w:r w:rsidRPr="00BB006F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Claim boundary</w:t>
      </w:r>
    </w:p>
    <w:p w14:paraId="09EED171" w14:textId="297565E7" w:rsidR="004E6E12" w:rsidRPr="004E6E12" w:rsidRDefault="004E6E12" w:rsidP="003A07A1">
      <w:pPr>
        <w:pStyle w:val="BodyText"/>
        <w:spacing w:line="360" w:lineRule="auto"/>
        <w:ind w:firstLineChars="200" w:firstLine="4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1366">
        <w:rPr>
          <w:rFonts w:ascii="Times New Roman" w:hAnsi="Times New Roman" w:cs="Times New Roman"/>
          <w:sz w:val="24"/>
          <w:szCs w:val="24"/>
        </w:rPr>
        <w:t>An adjusted observational association is not automatically causal. Causal interpretation depends on intervention definition, temporal order, consistency, positivity, exchangeability, measurement, selection, and no-interference assumptions.</w:t>
      </w:r>
    </w:p>
    <w:p w14:paraId="1EC05CC9" w14:textId="77777777" w:rsidR="004E6E12" w:rsidRPr="004E6E12" w:rsidRDefault="004E6E12" w:rsidP="004E6E12">
      <w:pPr>
        <w:spacing w:line="360" w:lineRule="auto"/>
        <w:jc w:val="both"/>
        <w:rPr>
          <w:rFonts w:ascii="Times New Roman" w:hAnsi="Times New Roman" w:cs="Times New Roman"/>
          <w:lang w:eastAsia="en-US"/>
        </w:rPr>
      </w:pPr>
    </w:p>
    <w:sectPr w:rsidR="004E6E12" w:rsidRPr="004E6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63A5"/>
    <w:multiLevelType w:val="hybridMultilevel"/>
    <w:tmpl w:val="B624F17E"/>
    <w:lvl w:ilvl="0" w:tplc="FFFFFFFF">
      <w:start w:val="1"/>
      <w:numFmt w:val="decimal"/>
      <w:lvlText w:val="%1."/>
      <w:lvlJc w:val="left"/>
      <w:pPr>
        <w:ind w:left="290" w:hanging="256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3"/>
        <w:szCs w:val="23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394" w:hanging="360"/>
      </w:pPr>
    </w:lvl>
    <w:lvl w:ilvl="2" w:tplc="FFFFFFFF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438" w:hanging="18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7" w:hanging="18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76" w:hanging="18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45" w:hanging="18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14" w:hanging="18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83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51B96F05"/>
    <w:multiLevelType w:val="hybridMultilevel"/>
    <w:tmpl w:val="A70AA486"/>
    <w:lvl w:ilvl="0" w:tplc="1F94B5BC">
      <w:start w:val="1"/>
      <w:numFmt w:val="decimal"/>
      <w:lvlText w:val="%1."/>
      <w:lvlJc w:val="left"/>
      <w:pPr>
        <w:ind w:left="290" w:hanging="256"/>
        <w:jc w:val="left"/>
      </w:pPr>
      <w:rPr>
        <w:rFonts w:ascii="Arial" w:eastAsia="Arial" w:hAnsi="Arial" w:cs="Arial" w:hint="default"/>
        <w:b/>
        <w:bCs/>
        <w:i w:val="0"/>
        <w:iCs w:val="0"/>
        <w:color w:val="16365D"/>
        <w:spacing w:val="0"/>
        <w:w w:val="100"/>
        <w:sz w:val="23"/>
        <w:szCs w:val="23"/>
        <w:lang w:val="en-US" w:eastAsia="en-US" w:bidi="ar-SA"/>
      </w:rPr>
    </w:lvl>
    <w:lvl w:ilvl="1" w:tplc="6FFA2BBC">
      <w:start w:val="1"/>
      <w:numFmt w:val="decimal"/>
      <w:lvlText w:val="%2."/>
      <w:lvlJc w:val="left"/>
      <w:pPr>
        <w:ind w:left="217" w:hanging="18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181EA43C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3" w:tplc="055845EE">
      <w:numFmt w:val="bullet"/>
      <w:lvlText w:val="•"/>
      <w:lvlJc w:val="left"/>
      <w:pPr>
        <w:ind w:left="2438" w:hanging="183"/>
      </w:pPr>
      <w:rPr>
        <w:rFonts w:hint="default"/>
        <w:lang w:val="en-US" w:eastAsia="en-US" w:bidi="ar-SA"/>
      </w:rPr>
    </w:lvl>
    <w:lvl w:ilvl="4" w:tplc="274AC962">
      <w:numFmt w:val="bullet"/>
      <w:lvlText w:val="•"/>
      <w:lvlJc w:val="left"/>
      <w:pPr>
        <w:ind w:left="3507" w:hanging="183"/>
      </w:pPr>
      <w:rPr>
        <w:rFonts w:hint="default"/>
        <w:lang w:val="en-US" w:eastAsia="en-US" w:bidi="ar-SA"/>
      </w:rPr>
    </w:lvl>
    <w:lvl w:ilvl="5" w:tplc="507C2BEE">
      <w:numFmt w:val="bullet"/>
      <w:lvlText w:val="•"/>
      <w:lvlJc w:val="left"/>
      <w:pPr>
        <w:ind w:left="4576" w:hanging="183"/>
      </w:pPr>
      <w:rPr>
        <w:rFonts w:hint="default"/>
        <w:lang w:val="en-US" w:eastAsia="en-US" w:bidi="ar-SA"/>
      </w:rPr>
    </w:lvl>
    <w:lvl w:ilvl="6" w:tplc="A81CE5F4">
      <w:numFmt w:val="bullet"/>
      <w:lvlText w:val="•"/>
      <w:lvlJc w:val="left"/>
      <w:pPr>
        <w:ind w:left="5645" w:hanging="183"/>
      </w:pPr>
      <w:rPr>
        <w:rFonts w:hint="default"/>
        <w:lang w:val="en-US" w:eastAsia="en-US" w:bidi="ar-SA"/>
      </w:rPr>
    </w:lvl>
    <w:lvl w:ilvl="7" w:tplc="81D09BD2">
      <w:numFmt w:val="bullet"/>
      <w:lvlText w:val="•"/>
      <w:lvlJc w:val="left"/>
      <w:pPr>
        <w:ind w:left="6714" w:hanging="183"/>
      </w:pPr>
      <w:rPr>
        <w:rFonts w:hint="default"/>
        <w:lang w:val="en-US" w:eastAsia="en-US" w:bidi="ar-SA"/>
      </w:rPr>
    </w:lvl>
    <w:lvl w:ilvl="8" w:tplc="70A28D04">
      <w:numFmt w:val="bullet"/>
      <w:lvlText w:val="•"/>
      <w:lvlJc w:val="left"/>
      <w:pPr>
        <w:ind w:left="7783" w:hanging="183"/>
      </w:pPr>
      <w:rPr>
        <w:rFonts w:hint="default"/>
        <w:lang w:val="en-US" w:eastAsia="en-US" w:bidi="ar-SA"/>
      </w:rPr>
    </w:lvl>
  </w:abstractNum>
  <w:num w:numId="1" w16cid:durableId="2088528124">
    <w:abstractNumId w:val="1"/>
  </w:num>
  <w:num w:numId="2" w16cid:durableId="193432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12"/>
    <w:rsid w:val="00031D00"/>
    <w:rsid w:val="003A07A1"/>
    <w:rsid w:val="0041230E"/>
    <w:rsid w:val="004E6E12"/>
    <w:rsid w:val="009836EB"/>
    <w:rsid w:val="009A6FD4"/>
    <w:rsid w:val="00BB006F"/>
    <w:rsid w:val="00D51366"/>
    <w:rsid w:val="00DB2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BDCE"/>
  <w15:chartTrackingRefBased/>
  <w15:docId w15:val="{6768BDD7-8ACD-4D51-AF28-397C1B84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E6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1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E6E1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6"/>
      <w:szCs w:val="16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E6E12"/>
    <w:rPr>
      <w:rFonts w:ascii="Arial" w:eastAsia="Arial" w:hAnsi="Arial" w:cs="Arial"/>
      <w:kern w:val="0"/>
      <w:sz w:val="16"/>
      <w:szCs w:val="16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E6E12"/>
    <w:pPr>
      <w:widowControl w:val="0"/>
      <w:autoSpaceDE w:val="0"/>
      <w:autoSpaceDN w:val="0"/>
      <w:spacing w:before="67" w:after="0" w:line="240" w:lineRule="auto"/>
      <w:ind w:left="118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E6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ctvsobs.org/dataset/female-lalon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ers.nber.org/~rdehejia/data/.nswdata2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alldeolove10-SJ/2026A8000531008_DEONISIO-YOHANES-WILFRIDUS-HORNAY_DS_A6_Causal-Claim-and-Sensitivity-Analysi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Salvador</dc:creator>
  <cp:keywords/>
  <dc:description/>
  <cp:lastModifiedBy>Juan Salvador</cp:lastModifiedBy>
  <cp:revision>3</cp:revision>
  <dcterms:created xsi:type="dcterms:W3CDTF">2026-10-26T12:19:00Z</dcterms:created>
  <dcterms:modified xsi:type="dcterms:W3CDTF">2026-10-29T13:34:00Z</dcterms:modified>
</cp:coreProperties>
</file>