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A5C"/>
          <w:sz w:val="52"/>
          <w:szCs w:val="52"/>
        </w:rPr>
        <w:t xml:space="preserve">Petra App</w:t>
      </w:r>
    </w:p>
    <w:p>
      <w:pPr>
        <w:spacing w:after="100"/>
        <w:jc w:val="center"/>
      </w:pPr>
      <w:r>
        <w:rPr>
          <w:rFonts w:ascii="Arial" w:cs="Arial" w:eastAsia="Arial" w:hAnsi="Arial"/>
          <w:color w:val="2E4057"/>
          <w:sz w:val="36"/>
          <w:szCs w:val="36"/>
        </w:rPr>
        <w:t xml:space="preserve">ביקורת אבטחה ובאגים</w:t>
      </w:r>
    </w:p>
    <w:p>
      <w:pPr>
        <w:spacing w:after="100"/>
        <w:jc w:val="center"/>
      </w:pPr>
      <w:r>
        <w:rPr>
          <w:rFonts w:ascii="Arial" w:cs="Arial" w:eastAsia="Arial" w:hAnsi="Arial"/>
          <w:color w:val="2E4057"/>
          <w:sz w:val="36"/>
          <w:szCs w:val="36"/>
        </w:rPr>
        <w:t xml:space="preserve">Security &amp; Bug Audit Report</w:t>
      </w:r>
    </w:p>
    <w:p>
      <w:pPr>
        <w:spacing w:after="400"/>
        <w:jc w:val="center"/>
      </w:pPr>
      <w:r>
        <w:rPr>
          <w:rFonts w:ascii="Arial" w:cs="Arial" w:eastAsia="Arial" w:hAnsi="Arial"/>
          <w:color w:val="888888"/>
          <w:sz w:val="22"/>
          <w:szCs w:val="22"/>
        </w:rPr>
        <w:t xml:space="preserve">April 5, 2026</w:t>
      </w:r>
    </w:p>
    <w:p>
      <w:pPr>
        <w:pStyle w:val="Heading1"/>
      </w:pPr>
      <w:r>
        <w:t xml:space="preserve">Executive Summary</w:t>
      </w:r>
    </w:p>
    <w:p>
      <w:pPr>
        <w:spacing w:after="200"/>
      </w:pPr>
      <w:r>
        <w:t xml:space="preserve">A comprehensive security and bug audit was performed on the Petra application — a Hebrew/RTL B2B SaaS for Israeli pet-service businesses. The audit covered all 309 API route files, authentication guards, rate limiting, session management, encryption, webhook verification, public-facing routes, and client-side security.</w:t>
      </w:r>
    </w:p>
    <w:p>
      <w:pPr>
        <w:spacing w:after="200"/>
      </w:pPr>
      <w:r>
        <w:t xml:space="preserve">The application demonstrates strong foundational security: proper authentication guards on all protected routes, parameterized database queries (no SQL injection), IDOR prevention via session-derived businessId, AES-256-GCM encryption, bcrypt password hashing, and comprehensive input validation with Zod schemas.</w:t>
      </w:r>
    </w:p>
    <w:p>
      <w:pPr>
        <w:spacing w:after="200"/>
      </w:pPr>
      <w:r>
        <w:t xml:space="preserve">However, several issues were identified and fixed, with some remaining recommendations for future work.</w:t>
      </w:r>
    </w:p>
    <w:p>
      <w:pPr>
        <w:pStyle w:val="Heading1"/>
      </w:pPr>
      <w:r>
        <w:t xml:space="preserve">Issues Fixed</w:t>
      </w:r>
    </w:p>
    <w:p>
      <w:pPr>
        <w:pStyle w:val="Heading2"/>
      </w:pPr>
      <w:r>
        <w:t xml:space="preserve">1. Interactive Prisma Transactions (Critical — 12 files fixed)</w:t>
      </w:r>
    </w:p>
    <w:p>
      <w:pPr>
        <w:spacing w:after="120"/>
      </w:pPr>
      <w:r>
        <w:t xml:space="preserve">The codebase uses Supabase with PgBouncer in transaction pooling mode, which is incompatible with Prisma’s interactive transactions (</w:t>
      </w:r>
      <w:r>
        <w:rPr>
          <w:rFonts w:ascii="Courier New" w:cs="Courier New" w:eastAsia="Courier New" w:hAnsi="Courier New"/>
          <w:sz w:val="20"/>
          <w:szCs w:val="20"/>
        </w:rPr>
        <w:t xml:space="preserve">$transaction(async (tx) =&gt; {...})</w:t>
      </w:r>
      <w:r>
        <w:t xml:space="preserve">). These transactions silently fail or produce unexpected behavior in production. All 12 instances were converted to sequential operations.</w:t>
      </w:r>
    </w:p>
    <w:p>
      <w:pPr>
        <w:spacing w:after="60"/>
      </w:pPr>
      <w:r>
        <w:rPr>
          <w:b/>
          <w:bCs/>
        </w:rPr>
        <w:t xml:space="preserve">Files modified:</w:t>
      </w:r>
    </w:p>
    <w:p>
      <w:pPr>
        <w:pStyle w:val="ListParagraph"/>
        <w:numPr>
          <w:ilvl w:val="0"/>
          <w:numId w:val="2"/>
        </w:numPr>
      </w:pPr>
      <w:r>
        <w:rPr>
          <w:rFonts w:ascii="Courier New" w:cs="Courier New" w:eastAsia="Courier New" w:hAnsi="Courier New"/>
          <w:sz w:val="18"/>
          <w:szCs w:val="18"/>
        </w:rPr>
        <w:t xml:space="preserve">src/app/api/leads/[id]/convert/route.ts</w:t>
      </w:r>
    </w:p>
    <w:p>
      <w:pPr>
        <w:pStyle w:val="ListParagraph"/>
        <w:numPr>
          <w:ilvl w:val="0"/>
          <w:numId w:val="2"/>
        </w:numPr>
      </w:pPr>
      <w:r>
        <w:rPr>
          <w:rFonts w:ascii="Courier New" w:cs="Courier New" w:eastAsia="Courier New" w:hAnsi="Courier New"/>
          <w:sz w:val="18"/>
          <w:szCs w:val="18"/>
        </w:rPr>
        <w:t xml:space="preserve">src/app/api/leads/[id]/close-won/route.ts</w:t>
      </w:r>
    </w:p>
    <w:p>
      <w:pPr>
        <w:pStyle w:val="ListParagraph"/>
        <w:numPr>
          <w:ilvl w:val="0"/>
          <w:numId w:val="2"/>
        </w:numPr>
      </w:pPr>
      <w:r>
        <w:rPr>
          <w:rFonts w:ascii="Courier New" w:cs="Courier New" w:eastAsia="Courier New" w:hAnsi="Courier New"/>
          <w:sz w:val="18"/>
          <w:szCs w:val="18"/>
        </w:rPr>
        <w:t xml:space="preserve">src/app/api/service-dogs/standalone-pet/route.ts</w:t>
      </w:r>
    </w:p>
    <w:p>
      <w:pPr>
        <w:pStyle w:val="ListParagraph"/>
        <w:numPr>
          <w:ilvl w:val="0"/>
          <w:numId w:val="2"/>
        </w:numPr>
      </w:pPr>
      <w:r>
        <w:rPr>
          <w:rFonts w:ascii="Courier New" w:cs="Courier New" w:eastAsia="Courier New" w:hAnsi="Courier New"/>
          <w:sz w:val="18"/>
          <w:szCs w:val="18"/>
        </w:rPr>
        <w:t xml:space="preserve">src/app/api/service-dogs/route.ts</w:t>
      </w:r>
    </w:p>
    <w:p>
      <w:pPr>
        <w:pStyle w:val="ListParagraph"/>
        <w:numPr>
          <w:ilvl w:val="0"/>
          <w:numId w:val="2"/>
        </w:numPr>
      </w:pPr>
      <w:r>
        <w:rPr>
          <w:rFonts w:ascii="Courier New" w:cs="Courier New" w:eastAsia="Courier New" w:hAnsi="Courier New"/>
          <w:sz w:val="18"/>
          <w:szCs w:val="18"/>
        </w:rPr>
        <w:t xml:space="preserve">src/app/api/service-dogs/import/route.ts</w:t>
      </w:r>
    </w:p>
    <w:p>
      <w:pPr>
        <w:pStyle w:val="ListParagraph"/>
        <w:numPr>
          <w:ilvl w:val="0"/>
          <w:numId w:val="2"/>
        </w:numPr>
      </w:pPr>
      <w:r>
        <w:rPr>
          <w:rFonts w:ascii="Courier New" w:cs="Courier New" w:eastAsia="Courier New" w:hAnsi="Courier New"/>
          <w:sz w:val="18"/>
          <w:szCs w:val="18"/>
        </w:rPr>
        <w:t xml:space="preserve">src/app/api/boarding/route.ts</w:t>
      </w:r>
    </w:p>
    <w:p>
      <w:pPr>
        <w:pStyle w:val="ListParagraph"/>
        <w:numPr>
          <w:ilvl w:val="0"/>
          <w:numId w:val="2"/>
        </w:numPr>
      </w:pPr>
      <w:r>
        <w:rPr>
          <w:rFonts w:ascii="Courier New" w:cs="Courier New" w:eastAsia="Courier New" w:hAnsi="Courier New"/>
          <w:sz w:val="18"/>
          <w:szCs w:val="18"/>
        </w:rPr>
        <w:t xml:space="preserve">src/app/api/boarding/[id]/route.ts</w:t>
      </w:r>
    </w:p>
    <w:p>
      <w:pPr>
        <w:pStyle w:val="ListParagraph"/>
        <w:numPr>
          <w:ilvl w:val="0"/>
          <w:numId w:val="2"/>
        </w:numPr>
      </w:pPr>
      <w:r>
        <w:rPr>
          <w:rFonts w:ascii="Courier New" w:cs="Courier New" w:eastAsia="Courier New" w:hAnsi="Courier New"/>
          <w:sz w:val="18"/>
          <w:szCs w:val="18"/>
        </w:rPr>
        <w:t xml:space="preserve">src/app/api/orders/route.ts</w:t>
      </w:r>
    </w:p>
    <w:p>
      <w:pPr>
        <w:pStyle w:val="ListParagraph"/>
        <w:numPr>
          <w:ilvl w:val="0"/>
          <w:numId w:val="2"/>
        </w:numPr>
      </w:pPr>
      <w:r>
        <w:rPr>
          <w:rFonts w:ascii="Courier New" w:cs="Courier New" w:eastAsia="Courier New" w:hAnsi="Courier New"/>
          <w:sz w:val="18"/>
          <w:szCs w:val="18"/>
        </w:rPr>
        <w:t xml:space="preserve">src/app/api/book/[slug]/booking/route.ts</w:t>
      </w:r>
    </w:p>
    <w:p>
      <w:pPr>
        <w:pStyle w:val="ListParagraph"/>
        <w:numPr>
          <w:ilvl w:val="0"/>
          <w:numId w:val="2"/>
        </w:numPr>
      </w:pPr>
      <w:r>
        <w:rPr>
          <w:rFonts w:ascii="Courier New" w:cs="Courier New" w:eastAsia="Courier New" w:hAnsi="Courier New"/>
          <w:sz w:val="18"/>
          <w:szCs w:val="18"/>
        </w:rPr>
        <w:t xml:space="preserve">src/lib/auth.ts</w:t>
      </w:r>
    </w:p>
    <w:p>
      <w:pPr>
        <w:pStyle w:val="ListParagraph"/>
        <w:numPr>
          <w:ilvl w:val="0"/>
          <w:numId w:val="2"/>
        </w:numPr>
      </w:pPr>
      <w:r>
        <w:rPr>
          <w:rFonts w:ascii="Courier New" w:cs="Courier New" w:eastAsia="Courier New" w:hAnsi="Courier New"/>
          <w:sz w:val="18"/>
          <w:szCs w:val="18"/>
        </w:rPr>
        <w:t xml:space="preserve">src/lib/onboard-user.ts</w:t>
      </w:r>
    </w:p>
    <w:p>
      <w:pPr>
        <w:pStyle w:val="ListParagraph"/>
        <w:numPr>
          <w:ilvl w:val="0"/>
          <w:numId w:val="2"/>
        </w:numPr>
      </w:pPr>
      <w:r>
        <w:rPr>
          <w:rFonts w:ascii="Courier New" w:cs="Courier New" w:eastAsia="Courier New" w:hAnsi="Courier New"/>
          <w:sz w:val="18"/>
          <w:szCs w:val="18"/>
        </w:rPr>
        <w:t xml:space="preserve">src/app/api/owner/tenants/route.ts</w:t>
      </w:r>
    </w:p>
    <w:p>
      <w:pPr>
        <w:pStyle w:val="Heading2"/>
      </w:pPr>
      <w:r>
        <w:t xml:space="preserve">2. Hardcoded Lead Stage Fallback (Medium)</w:t>
      </w:r>
    </w:p>
    <w:p>
      <w:pPr>
        <w:spacing w:after="200"/>
      </w:pPr>
      <w:r>
        <w:t xml:space="preserve">In </w:t>
      </w:r>
      <w:r>
        <w:rPr>
          <w:rFonts w:ascii="Courier New" w:cs="Courier New" w:eastAsia="Courier New" w:hAnsi="Courier New"/>
          <w:sz w:val="20"/>
          <w:szCs w:val="20"/>
        </w:rPr>
        <w:t xml:space="preserve">leads/[id]/convert/route.ts</w:t>
      </w:r>
      <w:r>
        <w:t xml:space="preserve">, the code had a hardcoded fallback </w:t>
      </w:r>
      <w:r>
        <w:rPr>
          <w:rFonts w:ascii="Courier New" w:cs="Courier New" w:eastAsia="Courier New" w:hAnsi="Courier New"/>
          <w:sz w:val="20"/>
          <w:szCs w:val="20"/>
        </w:rPr>
        <w:t xml:space="preserve">wonStage?.id ?? "won"</w:t>
      </w:r>
      <w:r>
        <w:t xml:space="preserve">. Per project rules, lead stages are UUIDs from the database and must never be hardcoded. Fixed to auto-create the won stage if missing (matching the pattern in close-won route).</w:t>
      </w:r>
    </w:p>
    <w:p>
      <w:pPr>
        <w:pStyle w:val="Heading2"/>
      </w:pPr>
      <w:r>
        <w:t xml:space="preserve">3. Unnecessary Sensitive Data Fetching (Medium)</w:t>
      </w:r>
    </w:p>
    <w:p>
      <w:pPr>
        <w:spacing w:after="200"/>
      </w:pPr>
      <w:r>
        <w:t xml:space="preserve">In </w:t>
      </w:r>
      <w:r>
        <w:rPr>
          <w:rFonts w:ascii="Courier New" w:cs="Courier New" w:eastAsia="Courier New" w:hAnsi="Courier New"/>
          <w:sz w:val="20"/>
          <w:szCs w:val="20"/>
        </w:rPr>
        <w:t xml:space="preserve">auth/reset-password/route.ts</w:t>
      </w:r>
      <w:r>
        <w:t xml:space="preserve">, the password reset flow fetched the full user object (including passwordHash, twoFaSecret, twoFaBackupCodes) when only id and isActive were needed. Fixed to use explicit </w:t>
      </w:r>
      <w:r>
        <w:rPr>
          <w:rFonts w:ascii="Courier New" w:cs="Courier New" w:eastAsia="Courier New" w:hAnsi="Courier New"/>
          <w:sz w:val="20"/>
          <w:szCs w:val="20"/>
        </w:rPr>
        <w:t xml:space="preserve">select: { id: true, isActive: true }</w:t>
      </w:r>
      <w:r>
        <w:t xml:space="preserve">.</w:t>
      </w:r>
    </w:p>
    <w:p>
      <w:r>
        <w:br w:type="page"/>
      </w:r>
    </w:p>
    <w:p>
      <w:pPr>
        <w:pStyle w:val="Heading1"/>
      </w:pPr>
      <w:r>
        <w:t xml:space="preserve">Remaining Recommendations</w:t>
      </w:r>
    </w:p>
    <w:p>
      <w:pPr>
        <w:pStyle w:val="Heading2"/>
      </w:pPr>
      <w:r>
        <w:t xml:space="preserve">1. In-Memory Rate Limiter (High Priority)</w:t>
      </w:r>
    </w:p>
    <w:p>
      <w:pPr>
        <w:spacing w:after="120"/>
      </w:pPr>
      <w:r>
        <w:t xml:space="preserve">The rate limiter (</w:t>
      </w:r>
      <w:r>
        <w:rPr>
          <w:rFonts w:ascii="Courier New" w:cs="Courier New" w:eastAsia="Courier New" w:hAnsi="Courier New"/>
          <w:sz w:val="20"/>
          <w:szCs w:val="20"/>
        </w:rPr>
        <w:t xml:space="preserve">src/lib/rate-limit.ts</w:t>
      </w:r>
      <w:r>
        <w:t xml:space="preserve">) uses an in-memory Map. In Vercel’s serverless environment, each function invocation gets fresh memory, making rate limiting ineffective in production. Additionally, a duplicate unused implementation exists at </w:t>
      </w:r>
      <w:r>
        <w:rPr>
          <w:rFonts w:ascii="Courier New" w:cs="Courier New" w:eastAsia="Courier New" w:hAnsi="Courier New"/>
          <w:sz w:val="20"/>
          <w:szCs w:val="20"/>
        </w:rPr>
        <w:t xml:space="preserve">src/lib/security/rateLimiter.ts</w:t>
      </w:r>
      <w:r>
        <w:t xml:space="preserve">.</w:t>
      </w:r>
    </w:p>
    <w:p>
      <w:pPr>
        <w:spacing w:after="60"/>
      </w:pPr>
      <w:r>
        <w:rPr>
          <w:b/>
          <w:bCs/>
        </w:rPr>
        <w:t xml:space="preserve">Recommendation:</w:t>
      </w:r>
    </w:p>
    <w:p>
      <w:pPr>
        <w:pStyle w:val="ListParagraph"/>
        <w:numPr>
          <w:ilvl w:val="0"/>
          <w:numId w:val="3"/>
        </w:numPr>
      </w:pPr>
      <w:r>
        <w:t xml:space="preserve">Replace with Upstash Redis rate limiting (already noted as MVP in code comments)</w:t>
      </w:r>
    </w:p>
    <w:p>
      <w:pPr>
        <w:pStyle w:val="ListParagraph"/>
        <w:numPr>
          <w:ilvl w:val="0"/>
          <w:numId w:val="3"/>
        </w:numPr>
      </w:pPr>
      <w:r>
        <w:t xml:space="preserve">Delete the duplicate rateLimiter.ts file</w:t>
      </w:r>
    </w:p>
    <w:p>
      <w:pPr>
        <w:pStyle w:val="ListParagraph"/>
        <w:numPr>
          <w:ilvl w:val="0"/>
          <w:numId w:val="3"/>
        </w:numPr>
        <w:spacing w:after="200"/>
      </w:pPr>
      <w:r>
        <w:t xml:space="preserve">Add per-email rate limiting to forgot-password and register endpoints</w:t>
      </w:r>
    </w:p>
    <w:p>
      <w:pPr>
        <w:pStyle w:val="Heading2"/>
      </w:pPr>
      <w:r>
        <w:t xml:space="preserve">2. Generic Webhook Route (Medium Priority)</w:t>
      </w:r>
    </w:p>
    <w:p>
      <w:pPr>
        <w:spacing w:after="200"/>
      </w:pPr>
      <w:r>
        <w:t xml:space="preserve">The route </w:t>
      </w:r>
      <w:r>
        <w:rPr>
          <w:rFonts w:ascii="Courier New" w:cs="Courier New" w:eastAsia="Courier New" w:hAnsi="Courier New"/>
          <w:sz w:val="20"/>
          <w:szCs w:val="20"/>
        </w:rPr>
        <w:t xml:space="preserve">/api/webhooks/route.ts</w:t>
      </w:r>
      <w:r>
        <w:t xml:space="preserve"> is documented as handling incoming webhooks from external services (WhatsApp, payment gateways) but requires session authentication via requireAuth. External services cannot authenticate with user sessions. This route should either use API key/signature verification for external webhooks, or be documented as internal-only.</w:t>
      </w:r>
    </w:p>
    <w:p>
      <w:pPr>
        <w:pStyle w:val="Heading2"/>
      </w:pPr>
      <w:r>
        <w:t xml:space="preserve">3. Environment Variables Security (High Priority)</w:t>
      </w:r>
    </w:p>
    <w:p>
      <w:pPr>
        <w:spacing w:after="200"/>
      </w:pPr>
      <w:r>
        <w:t xml:space="preserve">The .env file contains production secrets (database credentials, API keys, encryption keys). While .gitignore includes .env, verify it was never committed to git history. If the repo is ever shared or breached, all secrets would be compromised. Recommendation: audit git history with </w:t>
      </w:r>
      <w:r>
        <w:rPr>
          <w:rFonts w:ascii="Courier New" w:cs="Courier New" w:eastAsia="Courier New" w:hAnsi="Courier New"/>
          <w:sz w:val="20"/>
          <w:szCs w:val="20"/>
        </w:rPr>
        <w:t xml:space="preserve">git log --all -- .env</w:t>
      </w:r>
      <w:r>
        <w:t xml:space="preserve"> and rotate secrets if needed.</w:t>
      </w:r>
    </w:p>
    <w:p>
      <w:r>
        <w:br w:type="page"/>
      </w:r>
    </w:p>
    <w:p>
      <w:pPr>
        <w:pStyle w:val="Heading1"/>
      </w:pPr>
      <w:r>
        <w:t xml:space="preserve">Audit Summary</w:t>
      </w:r>
    </w:p>
    <w:p>
      <w:pPr>
        <w:spacing w:after="200"/>
      </w:pPr>
      <w:r>
        <w:t xml:space="preserve">The following table summarizes all security areas reviewed and their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Guards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IDOR Prevention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 Injection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 Validation (Zod)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Encryption (AES-256-GCM)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Password Hashing (bcrypt)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Webhook Signatures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 Protection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CSP Headers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Cron Auth (timing-safe)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Secure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Interactive Transactions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files converted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Hardcoded Lead Stage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Auto-create pattern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Sensitive Data in Query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Explicit select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In-Memory Rate Limiter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 with Redis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Generic Webhook 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API key auth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.env Secrets Audit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Verify git history</w:t>
            </w:r>
          </w:p>
        </w:tc>
      </w:tr>
    </w:tbl>
    <w:p>
      <w:pPr>
        <w:spacing w:before="400"/>
      </w:pPr>
    </w:p>
    <w:p>
      <w:pPr>
        <w:pStyle w:val="Heading1"/>
      </w:pPr>
      <w:r>
        <w:t xml:space="preserve">Positive Findings</w:t>
      </w:r>
    </w:p>
    <w:p>
      <w:pPr>
        <w:spacing w:after="120"/>
      </w:pPr>
      <w:r>
        <w:t xml:space="preserve">The audit identified many well-implemented security practices:</w:t>
      </w:r>
    </w:p>
    <w:p>
      <w:pPr>
        <w:pStyle w:val="ListParagraph"/>
        <w:numPr>
          <w:ilvl w:val="0"/>
          <w:numId w:val="4"/>
        </w:numPr>
      </w:pPr>
      <w:r>
        <w:t xml:space="preserve">All 280+ protected routes properly use requireBusinessAuth/requireAuth with isGuardError checks</w:t>
      </w:r>
    </w:p>
    <w:p>
      <w:pPr>
        <w:pStyle w:val="ListParagraph"/>
        <w:numPr>
          <w:ilvl w:val="0"/>
          <w:numId w:val="4"/>
        </w:numPr>
      </w:pPr>
      <w:r>
        <w:t xml:space="preserve">businessId is always derived from session, never from request body (IDOR prevention)</w:t>
      </w:r>
    </w:p>
    <w:p>
      <w:pPr>
        <w:pStyle w:val="ListParagraph"/>
        <w:numPr>
          <w:ilvl w:val="0"/>
          <w:numId w:val="4"/>
        </w:numPr>
      </w:pPr>
      <w:r>
        <w:t xml:space="preserve">All database queries use Prisma ORM with parameterized queries (zero SQL injection risk)</w:t>
      </w:r>
    </w:p>
    <w:p>
      <w:pPr>
        <w:pStyle w:val="ListParagraph"/>
        <w:numPr>
          <w:ilvl w:val="0"/>
          <w:numId w:val="4"/>
        </w:numPr>
      </w:pPr>
      <w:r>
        <w:t xml:space="preserve">Comprehensive Zod schema validation on all write operations</w:t>
      </w:r>
    </w:p>
    <w:p>
      <w:pPr>
        <w:pStyle w:val="ListParagraph"/>
        <w:numPr>
          <w:ilvl w:val="0"/>
          <w:numId w:val="4"/>
        </w:numPr>
      </w:pPr>
      <w:r>
        <w:t xml:space="preserve">Session tokens: 32 bytes crypto random, SHA-256 hashed, httpOnly+Secure+SameSite cookies</w:t>
      </w:r>
    </w:p>
    <w:p>
      <w:pPr>
        <w:pStyle w:val="ListParagraph"/>
        <w:numPr>
          <w:ilvl w:val="0"/>
          <w:numId w:val="4"/>
        </w:numPr>
      </w:pPr>
      <w:r>
        <w:t xml:space="preserve">Password reset: SHA-256 hashed tokens, 1-hour expiry, single-use, session invalidation</w:t>
      </w:r>
    </w:p>
    <w:p>
      <w:pPr>
        <w:pStyle w:val="ListParagraph"/>
        <w:numPr>
          <w:ilvl w:val="0"/>
          <w:numId w:val="4"/>
        </w:numPr>
      </w:pPr>
      <w:r>
        <w:t xml:space="preserve">Stripe webhook: proper signature verification with per-business encrypted secrets</w:t>
      </w:r>
    </w:p>
    <w:p>
      <w:pPr>
        <w:pStyle w:val="ListParagraph"/>
        <w:numPr>
          <w:ilvl w:val="0"/>
          <w:numId w:val="4"/>
        </w:numPr>
      </w:pPr>
      <w:r>
        <w:t xml:space="preserve">Login: timing-attack resistant with dummy bcrypt hash for non-existent users</w:t>
      </w:r>
    </w:p>
    <w:p>
      <w:pPr>
        <w:pStyle w:val="ListParagraph"/>
        <w:numPr>
          <w:ilvl w:val="0"/>
          <w:numId w:val="4"/>
        </w:numPr>
      </w:pPr>
      <w:r>
        <w:t xml:space="preserve">Customer deletion: correct sequential cascade pattern (17 related entities)</w:t>
      </w:r>
    </w:p>
    <w:p>
      <w:pPr>
        <w:pStyle w:val="ListParagraph"/>
        <w:numPr>
          <w:ilvl w:val="0"/>
          <w:numId w:val="4"/>
        </w:numPr>
      </w:pPr>
      <w:r>
        <w:t xml:space="preserve">No null safety issues with Pet.customerId (proper optional chaining throughout)</w:t>
      </w:r>
    </w:p>
    <w:p>
      <w:pPr>
        <w:pStyle w:val="ListParagraph"/>
        <w:numPr>
          <w:ilvl w:val="0"/>
          <w:numId w:val="4"/>
        </w:numPr>
      </w:pPr>
      <w:r>
        <w:t xml:space="preserve">No TimelineEvent title field misuse</w:t>
      </w:r>
    </w:p>
    <w:p>
      <w:pPr>
        <w:pStyle w:val="ListParagraph"/>
        <w:numPr>
          <w:ilvl w:val="0"/>
          <w:numId w:val="4"/>
        </w:numPr>
      </w:pPr>
      <w:r>
        <w:t xml:space="preserve">Security headers: X-Content-Type-Options, X-Frame-Options, HSTS, CSP all properly configured</w:t>
      </w:r>
    </w:p>
    <w:p>
      <w:pPr>
        <w:pStyle w:val="ListParagraph"/>
        <w:numPr>
          <w:ilvl w:val="0"/>
          <w:numId w:val="4"/>
        </w:numPr>
      </w:pPr>
      <w:r>
        <w:t xml:space="preserve">No sensitive data stored in localStorage (only UI state flags)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color w:val="666666"/>
        <w:sz w:val="18"/>
        <w:szCs w:val="18"/>
      </w:rPr>
      <w:t xml:space="preserve">Petra App — Security &amp; Bug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2026-04-05T04:15:44.736Z</dcterms:created>
  <dcterms:modified xsi:type="dcterms:W3CDTF">2026-04-05T04:15:44.736Z</dcterms:modified>
</cp:coreProperties>
</file>

<file path=docProps/custom.xml><?xml version="1.0" encoding="utf-8"?>
<Properties xmlns="http://schemas.openxmlformats.org/officeDocument/2006/custom-properties" xmlns:vt="http://schemas.openxmlformats.org/officeDocument/2006/docPropsVTypes"/>
</file>