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F2" w:rsidRDefault="00C52BF2" w:rsidP="00C52BF2">
      <w:pPr>
        <w:jc w:val="center"/>
        <w:rPr>
          <w:b/>
          <w:sz w:val="12"/>
          <w:szCs w:val="28"/>
          <w:u w:val="single"/>
        </w:rPr>
      </w:pPr>
      <w:bookmarkStart w:id="0" w:name="_GoBack"/>
      <w:bookmarkEnd w:id="0"/>
    </w:p>
    <w:p w:rsidR="00DB5BF1" w:rsidRPr="00313162" w:rsidRDefault="00DB5BF1" w:rsidP="00C52BF2">
      <w:pPr>
        <w:jc w:val="center"/>
        <w:rPr>
          <w:b/>
          <w:sz w:val="12"/>
          <w:szCs w:val="28"/>
          <w:u w:val="single"/>
        </w:rPr>
      </w:pPr>
    </w:p>
    <w:p w:rsidR="009322B3" w:rsidRDefault="009322B3" w:rsidP="009322B3">
      <w:pPr>
        <w:jc w:val="center"/>
        <w:rPr>
          <w:b/>
          <w:sz w:val="40"/>
          <w:szCs w:val="28"/>
          <w:u w:val="single"/>
        </w:rPr>
      </w:pPr>
      <w:r w:rsidRPr="00226915">
        <w:rPr>
          <w:b/>
          <w:sz w:val="40"/>
          <w:szCs w:val="28"/>
          <w:u w:val="single"/>
        </w:rPr>
        <w:t>INDEPENDENT NATIONAL ELECTORAL COMMISSION</w:t>
      </w:r>
    </w:p>
    <w:p w:rsidR="009322B3" w:rsidRPr="008B778C" w:rsidRDefault="009322B3" w:rsidP="009322B3">
      <w:pPr>
        <w:jc w:val="center"/>
        <w:rPr>
          <w:b/>
          <w:sz w:val="44"/>
          <w:szCs w:val="28"/>
          <w:u w:val="single"/>
        </w:rPr>
      </w:pPr>
    </w:p>
    <w:p w:rsidR="009322B3" w:rsidRDefault="00542971" w:rsidP="009322B3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AMENDED </w:t>
      </w:r>
      <w:r w:rsidR="009322B3" w:rsidRPr="00D72A86">
        <w:rPr>
          <w:b/>
          <w:sz w:val="32"/>
          <w:szCs w:val="28"/>
          <w:u w:val="single"/>
        </w:rPr>
        <w:t xml:space="preserve">TIME TABLE </w:t>
      </w:r>
      <w:r w:rsidR="009322B3">
        <w:rPr>
          <w:b/>
          <w:sz w:val="32"/>
          <w:szCs w:val="28"/>
          <w:u w:val="single"/>
        </w:rPr>
        <w:t xml:space="preserve">AND SCHEDULE </w:t>
      </w:r>
      <w:r w:rsidR="009322B3" w:rsidRPr="00D72A86">
        <w:rPr>
          <w:b/>
          <w:sz w:val="32"/>
          <w:szCs w:val="28"/>
          <w:u w:val="single"/>
        </w:rPr>
        <w:t>OF ACTIVITIES FOR</w:t>
      </w:r>
      <w:r w:rsidR="009322B3">
        <w:rPr>
          <w:b/>
          <w:sz w:val="32"/>
          <w:szCs w:val="28"/>
          <w:u w:val="single"/>
        </w:rPr>
        <w:t xml:space="preserve"> GENERAL </w:t>
      </w:r>
      <w:r w:rsidR="009322B3" w:rsidRPr="00D72A86">
        <w:rPr>
          <w:b/>
          <w:sz w:val="32"/>
          <w:szCs w:val="28"/>
          <w:u w:val="single"/>
        </w:rPr>
        <w:t>ELECTION</w:t>
      </w:r>
      <w:r w:rsidR="009322B3">
        <w:rPr>
          <w:b/>
          <w:sz w:val="32"/>
          <w:szCs w:val="28"/>
          <w:u w:val="single"/>
        </w:rPr>
        <w:t>S</w:t>
      </w:r>
      <w:r w:rsidR="00383046">
        <w:rPr>
          <w:b/>
          <w:sz w:val="32"/>
          <w:szCs w:val="28"/>
          <w:u w:val="single"/>
        </w:rPr>
        <w:t>,</w:t>
      </w:r>
      <w:r w:rsidR="009322B3">
        <w:rPr>
          <w:b/>
          <w:sz w:val="32"/>
          <w:szCs w:val="28"/>
          <w:u w:val="single"/>
        </w:rPr>
        <w:t xml:space="preserve"> 2015</w:t>
      </w:r>
    </w:p>
    <w:p w:rsidR="009322B3" w:rsidRDefault="009322B3" w:rsidP="009322B3">
      <w:pPr>
        <w:jc w:val="center"/>
        <w:rPr>
          <w:b/>
          <w:sz w:val="32"/>
          <w:szCs w:val="28"/>
          <w:u w:val="single"/>
        </w:rPr>
      </w:pPr>
    </w:p>
    <w:p w:rsidR="009322B3" w:rsidRPr="00D72A86" w:rsidRDefault="009322B3" w:rsidP="009322B3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 </w:t>
      </w:r>
    </w:p>
    <w:p w:rsidR="00C52BF2" w:rsidRDefault="00542971" w:rsidP="00542971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Consequent upon the rescheduling of the dates for the 2015 General Elections, the Time Table and Schedule of Activities for the 2015 General Elections is amended as hereunder.</w:t>
      </w:r>
    </w:p>
    <w:p w:rsidR="00391BF5" w:rsidRPr="00322BF9" w:rsidRDefault="00391BF5" w:rsidP="00C52BF2">
      <w:pPr>
        <w:jc w:val="both"/>
        <w:rPr>
          <w:szCs w:val="28"/>
        </w:rPr>
      </w:pPr>
    </w:p>
    <w:p w:rsidR="00C52BF2" w:rsidRPr="00313162" w:rsidRDefault="00C52BF2" w:rsidP="00C52BF2">
      <w:pPr>
        <w:jc w:val="center"/>
        <w:rPr>
          <w:b/>
          <w:sz w:val="12"/>
          <w:szCs w:val="28"/>
          <w:u w:val="single"/>
        </w:rPr>
      </w:pPr>
    </w:p>
    <w:tbl>
      <w:tblPr>
        <w:tblW w:w="145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6390"/>
        <w:gridCol w:w="4410"/>
      </w:tblGrid>
      <w:tr w:rsidR="00C52BF2" w:rsidRPr="00F46691" w:rsidTr="00B42504">
        <w:trPr>
          <w:trHeight w:val="314"/>
        </w:trPr>
        <w:tc>
          <w:tcPr>
            <w:tcW w:w="630" w:type="dxa"/>
          </w:tcPr>
          <w:p w:rsidR="00C52BF2" w:rsidRPr="00322BF9" w:rsidRDefault="00C52BF2" w:rsidP="00873993">
            <w:pPr>
              <w:jc w:val="center"/>
              <w:rPr>
                <w:b/>
                <w:szCs w:val="28"/>
              </w:rPr>
            </w:pPr>
            <w:r w:rsidRPr="00322BF9">
              <w:rPr>
                <w:b/>
                <w:szCs w:val="28"/>
              </w:rPr>
              <w:t>S/N</w:t>
            </w:r>
          </w:p>
        </w:tc>
        <w:tc>
          <w:tcPr>
            <w:tcW w:w="3150" w:type="dxa"/>
          </w:tcPr>
          <w:p w:rsidR="00C52BF2" w:rsidRPr="00F46691" w:rsidRDefault="00C52BF2" w:rsidP="00873993">
            <w:pPr>
              <w:jc w:val="center"/>
              <w:rPr>
                <w:b/>
                <w:sz w:val="28"/>
                <w:szCs w:val="28"/>
              </w:rPr>
            </w:pPr>
            <w:r w:rsidRPr="00F46691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6390" w:type="dxa"/>
          </w:tcPr>
          <w:p w:rsidR="00C52BF2" w:rsidRPr="00F46691" w:rsidRDefault="00C52BF2" w:rsidP="00873993">
            <w:pPr>
              <w:jc w:val="center"/>
              <w:rPr>
                <w:b/>
                <w:sz w:val="28"/>
                <w:szCs w:val="28"/>
              </w:rPr>
            </w:pPr>
            <w:r w:rsidRPr="00F4669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410" w:type="dxa"/>
          </w:tcPr>
          <w:p w:rsidR="00C52BF2" w:rsidRPr="00F46691" w:rsidRDefault="00C52BF2" w:rsidP="00873993">
            <w:pPr>
              <w:jc w:val="center"/>
              <w:rPr>
                <w:b/>
                <w:sz w:val="28"/>
                <w:szCs w:val="28"/>
              </w:rPr>
            </w:pPr>
            <w:r w:rsidRPr="00F46691">
              <w:rPr>
                <w:b/>
                <w:sz w:val="28"/>
                <w:szCs w:val="28"/>
              </w:rPr>
              <w:t>REMARK</w:t>
            </w:r>
          </w:p>
        </w:tc>
      </w:tr>
      <w:tr w:rsidR="00C52BF2" w:rsidRPr="00322BF9" w:rsidTr="00B42504">
        <w:tc>
          <w:tcPr>
            <w:tcW w:w="63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1</w:t>
            </w:r>
          </w:p>
        </w:tc>
        <w:tc>
          <w:tcPr>
            <w:tcW w:w="3150" w:type="dxa"/>
          </w:tcPr>
          <w:p w:rsidR="00C52BF2" w:rsidRPr="00322BF9" w:rsidRDefault="00C52BF2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Notice of election</w:t>
            </w:r>
          </w:p>
          <w:p w:rsidR="00C52BF2" w:rsidRPr="00322BF9" w:rsidRDefault="00C52BF2" w:rsidP="00873993">
            <w:pPr>
              <w:jc w:val="both"/>
              <w:rPr>
                <w:szCs w:val="28"/>
              </w:rPr>
            </w:pPr>
          </w:p>
          <w:p w:rsidR="00C52BF2" w:rsidRPr="00322BF9" w:rsidRDefault="00C52BF2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 xml:space="preserve">  </w:t>
            </w:r>
          </w:p>
        </w:tc>
        <w:tc>
          <w:tcPr>
            <w:tcW w:w="6390" w:type="dxa"/>
          </w:tcPr>
          <w:p w:rsidR="006D5669" w:rsidRDefault="006D5669" w:rsidP="006D5669">
            <w:pPr>
              <w:tabs>
                <w:tab w:val="left" w:pos="1260"/>
              </w:tabs>
              <w:jc w:val="center"/>
              <w:rPr>
                <w:szCs w:val="28"/>
              </w:rPr>
            </w:pPr>
          </w:p>
          <w:p w:rsidR="00C52BF2" w:rsidRPr="00322BF9" w:rsidRDefault="00497459" w:rsidP="00497459">
            <w:pPr>
              <w:tabs>
                <w:tab w:val="left" w:pos="126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497459">
              <w:rPr>
                <w:szCs w:val="28"/>
                <w:vertAlign w:val="superscript"/>
              </w:rPr>
              <w:t>st</w:t>
            </w:r>
            <w:r>
              <w:rPr>
                <w:szCs w:val="28"/>
              </w:rPr>
              <w:t xml:space="preserve"> </w:t>
            </w:r>
            <w:r w:rsidR="00982204">
              <w:rPr>
                <w:szCs w:val="28"/>
              </w:rPr>
              <w:t>October</w:t>
            </w:r>
            <w:r w:rsidR="006D5669">
              <w:rPr>
                <w:szCs w:val="28"/>
              </w:rPr>
              <w:t>, 2014</w:t>
            </w:r>
          </w:p>
        </w:tc>
        <w:tc>
          <w:tcPr>
            <w:tcW w:w="4410" w:type="dxa"/>
          </w:tcPr>
          <w:p w:rsidR="00C52BF2" w:rsidRPr="00322BF9" w:rsidRDefault="00C52BF2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30 (1) of the Electoral Act, 2010</w:t>
            </w:r>
            <w:r w:rsidR="0092028A">
              <w:rPr>
                <w:szCs w:val="28"/>
              </w:rPr>
              <w:t xml:space="preserve"> </w:t>
            </w:r>
            <w:r w:rsidR="008A70E5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not later than 90 days before the election.</w:t>
            </w:r>
          </w:p>
        </w:tc>
      </w:tr>
      <w:tr w:rsidR="00C52BF2" w:rsidRPr="00322BF9" w:rsidTr="00B42504">
        <w:tc>
          <w:tcPr>
            <w:tcW w:w="63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2</w:t>
            </w:r>
          </w:p>
        </w:tc>
        <w:tc>
          <w:tcPr>
            <w:tcW w:w="3150" w:type="dxa"/>
          </w:tcPr>
          <w:p w:rsidR="00C52BF2" w:rsidRPr="00322BF9" w:rsidRDefault="00C52BF2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Commencement of campaig</w:t>
            </w:r>
            <w:r w:rsidR="008A70E5">
              <w:rPr>
                <w:szCs w:val="28"/>
              </w:rPr>
              <w:t>n by Political Parties</w:t>
            </w:r>
            <w:r w:rsidRPr="00322BF9">
              <w:rPr>
                <w:szCs w:val="28"/>
              </w:rPr>
              <w:t xml:space="preserve"> </w:t>
            </w:r>
          </w:p>
        </w:tc>
        <w:tc>
          <w:tcPr>
            <w:tcW w:w="6390" w:type="dxa"/>
          </w:tcPr>
          <w:p w:rsidR="00EA3180" w:rsidRDefault="00982204" w:rsidP="00982204">
            <w:pPr>
              <w:tabs>
                <w:tab w:val="left" w:pos="126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Presidential &amp; National Assembly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16</w:t>
            </w:r>
            <w:r w:rsidRPr="00982204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November</w:t>
            </w:r>
            <w:r w:rsidR="006D5669">
              <w:rPr>
                <w:szCs w:val="28"/>
              </w:rPr>
              <w:t>, 2014</w:t>
            </w:r>
          </w:p>
          <w:p w:rsidR="00982204" w:rsidRPr="00322BF9" w:rsidRDefault="00982204" w:rsidP="00497459">
            <w:pPr>
              <w:tabs>
                <w:tab w:val="left" w:pos="126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Governorship &amp; State House of Assembly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30</w:t>
            </w:r>
            <w:r w:rsidRPr="00982204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November</w:t>
            </w:r>
            <w:r>
              <w:rPr>
                <w:szCs w:val="28"/>
              </w:rPr>
              <w:t>, 2014</w:t>
            </w:r>
          </w:p>
        </w:tc>
        <w:tc>
          <w:tcPr>
            <w:tcW w:w="4410" w:type="dxa"/>
          </w:tcPr>
          <w:p w:rsidR="00C52BF2" w:rsidRPr="00322BF9" w:rsidRDefault="00C52BF2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99(1) of the Electoral Act, 2010</w:t>
            </w:r>
            <w:r w:rsidR="0092028A">
              <w:rPr>
                <w:szCs w:val="28"/>
              </w:rPr>
              <w:t xml:space="preserve"> </w:t>
            </w:r>
            <w:r w:rsidR="008A70E5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90 days before polling day.</w:t>
            </w:r>
          </w:p>
        </w:tc>
      </w:tr>
      <w:tr w:rsidR="00C52BF2" w:rsidRPr="00322BF9" w:rsidTr="00B42504">
        <w:tc>
          <w:tcPr>
            <w:tcW w:w="63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3</w:t>
            </w:r>
          </w:p>
        </w:tc>
        <w:tc>
          <w:tcPr>
            <w:tcW w:w="3150" w:type="dxa"/>
          </w:tcPr>
          <w:p w:rsidR="00C52BF2" w:rsidRDefault="00C52BF2" w:rsidP="00391BF5">
            <w:pPr>
              <w:jc w:val="both"/>
              <w:rPr>
                <w:szCs w:val="26"/>
              </w:rPr>
            </w:pPr>
            <w:r w:rsidRPr="00322BF9">
              <w:rPr>
                <w:szCs w:val="26"/>
              </w:rPr>
              <w:t xml:space="preserve">Collection of Forms </w:t>
            </w:r>
            <w:r w:rsidRPr="00A6362C">
              <w:rPr>
                <w:b/>
                <w:szCs w:val="26"/>
              </w:rPr>
              <w:t xml:space="preserve">for </w:t>
            </w:r>
            <w:r w:rsidR="00391BF5" w:rsidRPr="00A6362C">
              <w:rPr>
                <w:b/>
                <w:szCs w:val="26"/>
              </w:rPr>
              <w:t>all</w:t>
            </w:r>
            <w:r w:rsidRPr="00A6362C">
              <w:rPr>
                <w:b/>
                <w:szCs w:val="26"/>
              </w:rPr>
              <w:t xml:space="preserve"> election</w:t>
            </w:r>
            <w:r w:rsidR="00A6362C" w:rsidRPr="00A6362C">
              <w:rPr>
                <w:b/>
                <w:szCs w:val="26"/>
              </w:rPr>
              <w:t>s</w:t>
            </w:r>
            <w:r w:rsidRPr="00322BF9">
              <w:rPr>
                <w:szCs w:val="26"/>
              </w:rPr>
              <w:t xml:space="preserve"> by Political Parties at INEC Headquarters. </w:t>
            </w:r>
          </w:p>
          <w:p w:rsidR="00066001" w:rsidRPr="00322BF9" w:rsidRDefault="00066001" w:rsidP="00391BF5">
            <w:pPr>
              <w:jc w:val="both"/>
              <w:rPr>
                <w:szCs w:val="26"/>
              </w:rPr>
            </w:pPr>
          </w:p>
        </w:tc>
        <w:tc>
          <w:tcPr>
            <w:tcW w:w="6390" w:type="dxa"/>
          </w:tcPr>
          <w:p w:rsidR="006D5669" w:rsidRDefault="006D5669" w:rsidP="006D5669">
            <w:pPr>
              <w:tabs>
                <w:tab w:val="left" w:pos="1260"/>
              </w:tabs>
              <w:jc w:val="center"/>
              <w:rPr>
                <w:szCs w:val="28"/>
              </w:rPr>
            </w:pPr>
          </w:p>
          <w:p w:rsidR="00C52BF2" w:rsidRPr="00322BF9" w:rsidRDefault="00497459" w:rsidP="00497459">
            <w:pPr>
              <w:tabs>
                <w:tab w:val="left" w:pos="126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6D5669" w:rsidRPr="006D5669">
              <w:rPr>
                <w:szCs w:val="28"/>
                <w:vertAlign w:val="superscript"/>
              </w:rPr>
              <w:t>th</w:t>
            </w:r>
            <w:r w:rsidR="006D5669">
              <w:rPr>
                <w:szCs w:val="28"/>
              </w:rPr>
              <w:t xml:space="preserve"> – </w:t>
            </w:r>
            <w:r>
              <w:rPr>
                <w:szCs w:val="28"/>
              </w:rPr>
              <w:t>11</w:t>
            </w:r>
            <w:r w:rsidR="006D5669" w:rsidRPr="006D5669">
              <w:rPr>
                <w:szCs w:val="28"/>
                <w:vertAlign w:val="superscript"/>
              </w:rPr>
              <w:t>th</w:t>
            </w:r>
            <w:r w:rsidR="006D5669">
              <w:rPr>
                <w:szCs w:val="28"/>
              </w:rPr>
              <w:t xml:space="preserve"> </w:t>
            </w:r>
            <w:r w:rsidR="00982204">
              <w:rPr>
                <w:szCs w:val="28"/>
              </w:rPr>
              <w:t>Nove</w:t>
            </w:r>
            <w:r w:rsidR="006D5669">
              <w:rPr>
                <w:szCs w:val="28"/>
              </w:rPr>
              <w:t>mber, 2014</w:t>
            </w:r>
          </w:p>
        </w:tc>
        <w:tc>
          <w:tcPr>
            <w:tcW w:w="441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For Political Parties to issue to their candidates.</w:t>
            </w:r>
          </w:p>
        </w:tc>
      </w:tr>
      <w:tr w:rsidR="00C52BF2" w:rsidRPr="00322BF9" w:rsidTr="00B42504">
        <w:tc>
          <w:tcPr>
            <w:tcW w:w="63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4</w:t>
            </w:r>
          </w:p>
        </w:tc>
        <w:tc>
          <w:tcPr>
            <w:tcW w:w="3150" w:type="dxa"/>
          </w:tcPr>
          <w:p w:rsidR="00C52BF2" w:rsidRPr="00322BF9" w:rsidRDefault="00C52BF2" w:rsidP="00F850FF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Conduct of Party Primaries including resolution of disputes arising from the Primaries.</w:t>
            </w:r>
          </w:p>
        </w:tc>
        <w:tc>
          <w:tcPr>
            <w:tcW w:w="6390" w:type="dxa"/>
          </w:tcPr>
          <w:p w:rsidR="00C52BF2" w:rsidRPr="006D5669" w:rsidRDefault="00C52BF2" w:rsidP="006D5669">
            <w:pPr>
              <w:tabs>
                <w:tab w:val="left" w:pos="3540"/>
              </w:tabs>
              <w:jc w:val="center"/>
              <w:rPr>
                <w:sz w:val="10"/>
                <w:szCs w:val="28"/>
              </w:rPr>
            </w:pPr>
          </w:p>
          <w:p w:rsidR="006D5669" w:rsidRDefault="006D5669" w:rsidP="006D5669">
            <w:pPr>
              <w:tabs>
                <w:tab w:val="left" w:pos="354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Commencement date</w:t>
            </w:r>
          </w:p>
          <w:p w:rsidR="006D5669" w:rsidRDefault="006D5669" w:rsidP="006D5669">
            <w:pPr>
              <w:tabs>
                <w:tab w:val="left" w:pos="354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="00497459">
              <w:rPr>
                <w:szCs w:val="28"/>
              </w:rPr>
              <w:t>2</w:t>
            </w:r>
            <w:r w:rsidR="00497459" w:rsidRPr="00497459">
              <w:rPr>
                <w:szCs w:val="28"/>
                <w:vertAlign w:val="superscript"/>
              </w:rPr>
              <w:t>nd</w:t>
            </w:r>
            <w:r w:rsidR="00497459">
              <w:rPr>
                <w:szCs w:val="28"/>
              </w:rPr>
              <w:t xml:space="preserve"> </w:t>
            </w:r>
            <w:r w:rsidR="005421B9">
              <w:rPr>
                <w:szCs w:val="28"/>
              </w:rPr>
              <w:t>October</w:t>
            </w:r>
            <w:r>
              <w:rPr>
                <w:szCs w:val="28"/>
              </w:rPr>
              <w:t xml:space="preserve"> 2014 </w:t>
            </w:r>
          </w:p>
          <w:p w:rsidR="006D5669" w:rsidRDefault="006D5669" w:rsidP="006D5669">
            <w:pPr>
              <w:tabs>
                <w:tab w:val="left" w:pos="354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End</w:t>
            </w:r>
          </w:p>
          <w:p w:rsidR="006D5669" w:rsidRPr="00322BF9" w:rsidRDefault="00497459" w:rsidP="005421B9">
            <w:pPr>
              <w:tabs>
                <w:tab w:val="left" w:pos="354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6D5669" w:rsidRPr="006D5669">
              <w:rPr>
                <w:szCs w:val="28"/>
                <w:vertAlign w:val="superscript"/>
              </w:rPr>
              <w:t>th</w:t>
            </w:r>
            <w:r w:rsidR="006D5669">
              <w:rPr>
                <w:szCs w:val="28"/>
              </w:rPr>
              <w:t xml:space="preserve"> </w:t>
            </w:r>
            <w:r w:rsidR="005421B9">
              <w:rPr>
                <w:szCs w:val="28"/>
              </w:rPr>
              <w:t>Decem</w:t>
            </w:r>
            <w:r w:rsidR="006D5669">
              <w:rPr>
                <w:szCs w:val="28"/>
              </w:rPr>
              <w:t>ber, 2014</w:t>
            </w:r>
          </w:p>
        </w:tc>
        <w:tc>
          <w:tcPr>
            <w:tcW w:w="441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 xml:space="preserve">To enable Political Parties democratically nominate candidates for the </w:t>
            </w:r>
            <w:r>
              <w:rPr>
                <w:szCs w:val="28"/>
              </w:rPr>
              <w:t>election</w:t>
            </w:r>
            <w:r w:rsidRPr="00322BF9">
              <w:rPr>
                <w:szCs w:val="28"/>
              </w:rPr>
              <w:t xml:space="preserve"> as required by Section 87 of the Electoral Act,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</w:p>
        </w:tc>
      </w:tr>
      <w:tr w:rsidR="00C52BF2" w:rsidRPr="00322BF9" w:rsidTr="00B42504">
        <w:tc>
          <w:tcPr>
            <w:tcW w:w="630" w:type="dxa"/>
          </w:tcPr>
          <w:p w:rsidR="00C52BF2" w:rsidRPr="00322BF9" w:rsidRDefault="00C52BF2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5</w:t>
            </w:r>
          </w:p>
          <w:p w:rsidR="00C52BF2" w:rsidRPr="00322BF9" w:rsidRDefault="00C52BF2" w:rsidP="00873993">
            <w:pPr>
              <w:rPr>
                <w:szCs w:val="28"/>
              </w:rPr>
            </w:pPr>
          </w:p>
        </w:tc>
        <w:tc>
          <w:tcPr>
            <w:tcW w:w="3150" w:type="dxa"/>
          </w:tcPr>
          <w:p w:rsidR="00C52BF2" w:rsidRPr="00322BF9" w:rsidRDefault="00C52BF2" w:rsidP="00A6362C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 xml:space="preserve">Last day for submission of Forms CF001 and CF002 at the INEC Headquarters </w:t>
            </w:r>
            <w:r w:rsidR="006D5669" w:rsidRPr="006D5669">
              <w:rPr>
                <w:b/>
                <w:szCs w:val="28"/>
              </w:rPr>
              <w:t>(for all elections)</w:t>
            </w:r>
            <w:r w:rsidR="00A6362C">
              <w:rPr>
                <w:b/>
                <w:szCs w:val="28"/>
              </w:rPr>
              <w:t>.</w:t>
            </w:r>
          </w:p>
        </w:tc>
        <w:tc>
          <w:tcPr>
            <w:tcW w:w="6390" w:type="dxa"/>
          </w:tcPr>
          <w:p w:rsidR="006D5669" w:rsidRDefault="006D5669" w:rsidP="006D5669">
            <w:pPr>
              <w:jc w:val="center"/>
              <w:rPr>
                <w:szCs w:val="28"/>
              </w:rPr>
            </w:pPr>
          </w:p>
          <w:p w:rsidR="00497459" w:rsidRDefault="00497459" w:rsidP="00497459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Presidential &amp; National Assembly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 xml:space="preserve"> 18</w:t>
            </w:r>
            <w:r w:rsidRPr="00E4524D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December, 2014</w:t>
            </w:r>
          </w:p>
          <w:p w:rsidR="00C52BF2" w:rsidRPr="00322BF9" w:rsidRDefault="00497459" w:rsidP="0049745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Governorship &amp; State House of Assembly 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>25</w:t>
            </w:r>
            <w:r w:rsidRPr="00497459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December, 2014</w:t>
            </w:r>
          </w:p>
        </w:tc>
        <w:tc>
          <w:tcPr>
            <w:tcW w:w="4410" w:type="dxa"/>
          </w:tcPr>
          <w:p w:rsidR="00C52BF2" w:rsidRPr="00322BF9" w:rsidRDefault="00C52BF2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31(1) of the Electoral Act,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for not later than 60 days before the election.</w:t>
            </w:r>
          </w:p>
        </w:tc>
      </w:tr>
      <w:tr w:rsidR="003F10CD" w:rsidRPr="00322BF9" w:rsidTr="00B42504">
        <w:trPr>
          <w:trHeight w:val="854"/>
        </w:trPr>
        <w:tc>
          <w:tcPr>
            <w:tcW w:w="630" w:type="dxa"/>
          </w:tcPr>
          <w:p w:rsidR="003F10CD" w:rsidRDefault="003F10CD" w:rsidP="00873993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6</w:t>
            </w:r>
          </w:p>
        </w:tc>
        <w:tc>
          <w:tcPr>
            <w:tcW w:w="3150" w:type="dxa"/>
          </w:tcPr>
          <w:p w:rsidR="003F10CD" w:rsidRPr="00322BF9" w:rsidRDefault="003F10CD" w:rsidP="00A6362C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Publication of Per</w:t>
            </w:r>
            <w:r w:rsidR="00A6362C">
              <w:rPr>
                <w:szCs w:val="28"/>
              </w:rPr>
              <w:t>sonal Particulars of candidates</w:t>
            </w:r>
            <w:r w:rsidRPr="00322BF9">
              <w:rPr>
                <w:szCs w:val="28"/>
              </w:rPr>
              <w:t xml:space="preserve"> (CF001)</w:t>
            </w:r>
            <w:r w:rsidR="00A6362C">
              <w:rPr>
                <w:szCs w:val="28"/>
              </w:rPr>
              <w:t xml:space="preserve"> </w:t>
            </w:r>
            <w:r w:rsidR="00A635D7" w:rsidRPr="006D5669">
              <w:rPr>
                <w:b/>
                <w:szCs w:val="28"/>
              </w:rPr>
              <w:t>(for all elections)</w:t>
            </w:r>
            <w:r w:rsidR="00A6362C">
              <w:rPr>
                <w:b/>
                <w:szCs w:val="28"/>
              </w:rPr>
              <w:t>.</w:t>
            </w:r>
          </w:p>
        </w:tc>
        <w:tc>
          <w:tcPr>
            <w:tcW w:w="6390" w:type="dxa"/>
          </w:tcPr>
          <w:p w:rsidR="00A635D7" w:rsidRDefault="00A635D7" w:rsidP="00A635D7">
            <w:pPr>
              <w:jc w:val="center"/>
              <w:rPr>
                <w:szCs w:val="28"/>
              </w:rPr>
            </w:pPr>
          </w:p>
          <w:p w:rsidR="00497459" w:rsidRDefault="00497459" w:rsidP="00497459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Presidential &amp; National Assembly 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>25</w:t>
            </w:r>
            <w:r w:rsidRPr="00497459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December, 2014</w:t>
            </w:r>
          </w:p>
          <w:p w:rsidR="003F10CD" w:rsidRPr="00322BF9" w:rsidRDefault="00497459" w:rsidP="0049745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Governorship &amp; State House of Assembly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 xml:space="preserve"> 1</w:t>
            </w:r>
            <w:r w:rsidRPr="00E4524D">
              <w:rPr>
                <w:szCs w:val="28"/>
                <w:vertAlign w:val="superscript"/>
              </w:rPr>
              <w:t>st</w:t>
            </w:r>
            <w:r>
              <w:rPr>
                <w:szCs w:val="28"/>
              </w:rPr>
              <w:t xml:space="preserve"> January, 2015</w:t>
            </w:r>
          </w:p>
        </w:tc>
        <w:tc>
          <w:tcPr>
            <w:tcW w:w="4410" w:type="dxa"/>
          </w:tcPr>
          <w:p w:rsidR="00FD1008" w:rsidRDefault="003F10CD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31(3) of the Electoral Act,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for publication within 7 days of the receipt of the form CF001</w:t>
            </w:r>
            <w:r w:rsidR="00FD1008">
              <w:rPr>
                <w:szCs w:val="28"/>
              </w:rPr>
              <w:t>.</w:t>
            </w:r>
          </w:p>
          <w:p w:rsidR="003F10CD" w:rsidRPr="00322BF9" w:rsidRDefault="003F10CD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 xml:space="preserve"> </w:t>
            </w:r>
          </w:p>
        </w:tc>
      </w:tr>
      <w:tr w:rsidR="00E4524D" w:rsidRPr="00322BF9" w:rsidTr="00B42504">
        <w:trPr>
          <w:trHeight w:val="854"/>
        </w:trPr>
        <w:tc>
          <w:tcPr>
            <w:tcW w:w="630" w:type="dxa"/>
          </w:tcPr>
          <w:p w:rsidR="00E4524D" w:rsidRPr="00322BF9" w:rsidRDefault="00E4524D" w:rsidP="00873993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150" w:type="dxa"/>
          </w:tcPr>
          <w:p w:rsidR="00E4524D" w:rsidRPr="00322BF9" w:rsidRDefault="00E4524D" w:rsidP="006C7E7B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Last day for withdrawal by candidate(s)/replacement of withdrawn candidate(s) by Political Parties.</w:t>
            </w:r>
          </w:p>
        </w:tc>
        <w:tc>
          <w:tcPr>
            <w:tcW w:w="6390" w:type="dxa"/>
          </w:tcPr>
          <w:p w:rsidR="00E4524D" w:rsidRDefault="00E4524D" w:rsidP="00E66FAC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Presidential &amp; National Assembly </w:t>
            </w:r>
            <w:r w:rsidR="00176EE0">
              <w:rPr>
                <w:szCs w:val="28"/>
              </w:rPr>
              <w:t>-</w:t>
            </w:r>
            <w:r w:rsidR="00497459">
              <w:rPr>
                <w:szCs w:val="28"/>
              </w:rPr>
              <w:t>30</w:t>
            </w:r>
            <w:r w:rsidRPr="00E4524D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December, 2014</w:t>
            </w:r>
          </w:p>
          <w:p w:rsidR="00E4524D" w:rsidRPr="00322BF9" w:rsidRDefault="00E4524D" w:rsidP="00497459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Governorship &amp; State House of Assembly </w:t>
            </w:r>
            <w:r w:rsidR="00176EE0">
              <w:rPr>
                <w:szCs w:val="28"/>
              </w:rPr>
              <w:t>-</w:t>
            </w:r>
            <w:r w:rsidR="00497459">
              <w:rPr>
                <w:szCs w:val="28"/>
              </w:rPr>
              <w:t>13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</w:t>
            </w:r>
            <w:r>
              <w:rPr>
                <w:szCs w:val="28"/>
              </w:rPr>
              <w:t>January, 2015</w:t>
            </w:r>
          </w:p>
        </w:tc>
        <w:tc>
          <w:tcPr>
            <w:tcW w:w="4410" w:type="dxa"/>
          </w:tcPr>
          <w:p w:rsidR="00E4524D" w:rsidRPr="00322BF9" w:rsidRDefault="00E4524D" w:rsidP="00F850FF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 xml:space="preserve">Section </w:t>
            </w:r>
            <w:r>
              <w:rPr>
                <w:szCs w:val="28"/>
              </w:rPr>
              <w:t xml:space="preserve">35 </w:t>
            </w:r>
            <w:r w:rsidRPr="00322BF9">
              <w:rPr>
                <w:szCs w:val="28"/>
              </w:rPr>
              <w:t>of the Electoral Act,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for not later than </w:t>
            </w:r>
            <w:r>
              <w:rPr>
                <w:szCs w:val="28"/>
              </w:rPr>
              <w:t>45</w:t>
            </w:r>
            <w:r w:rsidRPr="00322BF9">
              <w:rPr>
                <w:szCs w:val="28"/>
              </w:rPr>
              <w:t xml:space="preserve"> days before the election.</w:t>
            </w:r>
          </w:p>
        </w:tc>
      </w:tr>
      <w:tr w:rsidR="00E66FAC" w:rsidRPr="00322BF9" w:rsidTr="00B42504">
        <w:tc>
          <w:tcPr>
            <w:tcW w:w="630" w:type="dxa"/>
          </w:tcPr>
          <w:p w:rsidR="00E66FAC" w:rsidRPr="007125A5" w:rsidRDefault="00E66FAC" w:rsidP="00873993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150" w:type="dxa"/>
          </w:tcPr>
          <w:p w:rsidR="00E66FAC" w:rsidRPr="00322BF9" w:rsidRDefault="00E66FAC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Last day for the submission of Nomination forms by Political Parties.</w:t>
            </w:r>
          </w:p>
        </w:tc>
        <w:tc>
          <w:tcPr>
            <w:tcW w:w="6390" w:type="dxa"/>
          </w:tcPr>
          <w:p w:rsidR="00E66FAC" w:rsidRDefault="00E66FAC" w:rsidP="00E66FAC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Presidential &amp; National Assembly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6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</w:t>
            </w:r>
            <w:r>
              <w:rPr>
                <w:szCs w:val="28"/>
              </w:rPr>
              <w:t>January, 2015</w:t>
            </w:r>
          </w:p>
          <w:p w:rsidR="00E66FAC" w:rsidRPr="00322BF9" w:rsidRDefault="00E66FAC" w:rsidP="00497459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Governorship &amp; State House of Assembly 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="00497459">
              <w:rPr>
                <w:szCs w:val="28"/>
              </w:rPr>
              <w:t>0</w:t>
            </w:r>
            <w:r w:rsidRPr="00E66FAC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January, 2015</w:t>
            </w:r>
          </w:p>
        </w:tc>
        <w:tc>
          <w:tcPr>
            <w:tcW w:w="4410" w:type="dxa"/>
          </w:tcPr>
          <w:p w:rsidR="00E66FAC" w:rsidRDefault="00E66FAC" w:rsidP="00060E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Sections 32, 37, 38 and 39 of the Electoral Act</w:t>
            </w:r>
            <w:r w:rsidR="00437418">
              <w:rPr>
                <w:szCs w:val="28"/>
              </w:rPr>
              <w:t xml:space="preserve">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  <w:r>
              <w:rPr>
                <w:szCs w:val="28"/>
              </w:rPr>
              <w:t>. (Commission to appoint time for submission).</w:t>
            </w:r>
          </w:p>
          <w:p w:rsidR="00FD1008" w:rsidRPr="00322BF9" w:rsidRDefault="00FD1008" w:rsidP="00060E23">
            <w:pPr>
              <w:jc w:val="both"/>
              <w:rPr>
                <w:szCs w:val="28"/>
              </w:rPr>
            </w:pPr>
          </w:p>
        </w:tc>
      </w:tr>
      <w:tr w:rsidR="000E69DD" w:rsidRPr="00322BF9" w:rsidTr="00B42504">
        <w:tc>
          <w:tcPr>
            <w:tcW w:w="630" w:type="dxa"/>
          </w:tcPr>
          <w:p w:rsidR="000E69DD" w:rsidRPr="00322BF9" w:rsidRDefault="000E69DD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9</w:t>
            </w:r>
          </w:p>
        </w:tc>
        <w:tc>
          <w:tcPr>
            <w:tcW w:w="3150" w:type="dxa"/>
          </w:tcPr>
          <w:p w:rsidR="000E69DD" w:rsidRPr="00322BF9" w:rsidRDefault="000E69DD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 xml:space="preserve">Publication of official Register of voters for the </w:t>
            </w:r>
            <w:r>
              <w:rPr>
                <w:szCs w:val="28"/>
              </w:rPr>
              <w:t>election</w:t>
            </w:r>
            <w:r w:rsidRPr="00322BF9">
              <w:rPr>
                <w:szCs w:val="28"/>
              </w:rPr>
              <w:t>.</w:t>
            </w:r>
          </w:p>
        </w:tc>
        <w:tc>
          <w:tcPr>
            <w:tcW w:w="6390" w:type="dxa"/>
          </w:tcPr>
          <w:p w:rsidR="00402891" w:rsidRDefault="00402891" w:rsidP="003F10CD">
            <w:pPr>
              <w:jc w:val="center"/>
              <w:rPr>
                <w:szCs w:val="28"/>
              </w:rPr>
            </w:pPr>
          </w:p>
          <w:p w:rsidR="000E69DD" w:rsidRPr="009529BD" w:rsidRDefault="00497459" w:rsidP="0049745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Pr="00497459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January</w:t>
            </w:r>
            <w:r w:rsidR="00E617D9">
              <w:rPr>
                <w:szCs w:val="28"/>
              </w:rPr>
              <w:t>, 2015</w:t>
            </w:r>
          </w:p>
        </w:tc>
        <w:tc>
          <w:tcPr>
            <w:tcW w:w="4410" w:type="dxa"/>
          </w:tcPr>
          <w:p w:rsidR="000E69DD" w:rsidRDefault="000E69DD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20 of the Electoral Act,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not later than 30 days before the election.</w:t>
            </w:r>
          </w:p>
          <w:p w:rsidR="00FD1008" w:rsidRPr="00322BF9" w:rsidRDefault="00FD1008" w:rsidP="00873993">
            <w:pPr>
              <w:jc w:val="both"/>
              <w:rPr>
                <w:szCs w:val="28"/>
              </w:rPr>
            </w:pPr>
          </w:p>
        </w:tc>
      </w:tr>
      <w:tr w:rsidR="005B5EBA" w:rsidRPr="00322BF9" w:rsidTr="00B42504">
        <w:tc>
          <w:tcPr>
            <w:tcW w:w="630" w:type="dxa"/>
          </w:tcPr>
          <w:p w:rsidR="005B5EBA" w:rsidRPr="00322BF9" w:rsidRDefault="005B5EBA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10</w:t>
            </w:r>
          </w:p>
          <w:p w:rsidR="005B5EBA" w:rsidRPr="00322BF9" w:rsidRDefault="005B5EBA" w:rsidP="00873993">
            <w:pPr>
              <w:rPr>
                <w:szCs w:val="28"/>
              </w:rPr>
            </w:pPr>
          </w:p>
          <w:p w:rsidR="005B5EBA" w:rsidRPr="00322BF9" w:rsidRDefault="005B5EBA" w:rsidP="00873993">
            <w:pPr>
              <w:rPr>
                <w:b/>
                <w:szCs w:val="28"/>
              </w:rPr>
            </w:pPr>
          </w:p>
        </w:tc>
        <w:tc>
          <w:tcPr>
            <w:tcW w:w="3150" w:type="dxa"/>
          </w:tcPr>
          <w:p w:rsidR="005B5EBA" w:rsidRPr="00322BF9" w:rsidRDefault="005B5EBA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Publication of list of nominated candidates.</w:t>
            </w:r>
          </w:p>
        </w:tc>
        <w:tc>
          <w:tcPr>
            <w:tcW w:w="6390" w:type="dxa"/>
          </w:tcPr>
          <w:p w:rsidR="005B5EBA" w:rsidRDefault="005B5EBA" w:rsidP="00873993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Presidential &amp; National Assembly </w:t>
            </w:r>
            <w:r w:rsidR="00176EE0">
              <w:rPr>
                <w:szCs w:val="28"/>
              </w:rPr>
              <w:t>-</w:t>
            </w:r>
            <w:r w:rsidR="00497459">
              <w:rPr>
                <w:szCs w:val="28"/>
              </w:rPr>
              <w:t>13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January, 2015</w:t>
            </w:r>
          </w:p>
          <w:p w:rsidR="005B5EBA" w:rsidRPr="00322BF9" w:rsidRDefault="005B5EBA" w:rsidP="00497459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Governorship &amp; State House of Assembly</w:t>
            </w:r>
            <w:r w:rsidR="00176EE0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27</w:t>
            </w:r>
            <w:r w:rsidRPr="00E66FAC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</w:t>
            </w:r>
            <w:r w:rsidR="00497459">
              <w:rPr>
                <w:szCs w:val="28"/>
              </w:rPr>
              <w:t>January</w:t>
            </w:r>
            <w:r>
              <w:rPr>
                <w:szCs w:val="28"/>
              </w:rPr>
              <w:t>, 2015</w:t>
            </w:r>
          </w:p>
        </w:tc>
        <w:tc>
          <w:tcPr>
            <w:tcW w:w="4410" w:type="dxa"/>
          </w:tcPr>
          <w:p w:rsidR="005B5EBA" w:rsidRDefault="005B5EBA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34 of the Electoral Act, 2010</w:t>
            </w:r>
            <w:r w:rsidR="0092028A">
              <w:rPr>
                <w:szCs w:val="28"/>
              </w:rPr>
              <w:t xml:space="preserve"> </w:t>
            </w:r>
            <w:r w:rsidR="00437418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at least 30 days before the day of election.</w:t>
            </w:r>
          </w:p>
          <w:p w:rsidR="00FD1008" w:rsidRPr="00322BF9" w:rsidRDefault="00FD1008" w:rsidP="00873993">
            <w:pPr>
              <w:jc w:val="both"/>
              <w:rPr>
                <w:szCs w:val="28"/>
              </w:rPr>
            </w:pPr>
          </w:p>
        </w:tc>
      </w:tr>
      <w:tr w:rsidR="00751960" w:rsidRPr="00322BF9" w:rsidTr="00B42504">
        <w:trPr>
          <w:trHeight w:val="674"/>
        </w:trPr>
        <w:tc>
          <w:tcPr>
            <w:tcW w:w="630" w:type="dxa"/>
          </w:tcPr>
          <w:p w:rsidR="00751960" w:rsidRPr="00322BF9" w:rsidRDefault="00751960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11</w:t>
            </w:r>
          </w:p>
          <w:p w:rsidR="00751960" w:rsidRPr="00322BF9" w:rsidRDefault="00751960" w:rsidP="00873993">
            <w:pPr>
              <w:rPr>
                <w:b/>
                <w:szCs w:val="28"/>
              </w:rPr>
            </w:pPr>
          </w:p>
        </w:tc>
        <w:tc>
          <w:tcPr>
            <w:tcW w:w="3150" w:type="dxa"/>
          </w:tcPr>
          <w:p w:rsidR="00751960" w:rsidRDefault="00751960" w:rsidP="00873993">
            <w:pPr>
              <w:jc w:val="both"/>
              <w:rPr>
                <w:szCs w:val="28"/>
              </w:rPr>
            </w:pPr>
          </w:p>
          <w:p w:rsidR="00751960" w:rsidRPr="00D92DCF" w:rsidRDefault="00751960" w:rsidP="00873993">
            <w:pPr>
              <w:jc w:val="both"/>
              <w:rPr>
                <w:b/>
                <w:szCs w:val="28"/>
              </w:rPr>
            </w:pPr>
            <w:r w:rsidRPr="00322BF9">
              <w:rPr>
                <w:szCs w:val="28"/>
              </w:rPr>
              <w:t xml:space="preserve">Publication of Notice of Poll </w:t>
            </w:r>
            <w:r w:rsidR="00F77489">
              <w:rPr>
                <w:szCs w:val="28"/>
              </w:rPr>
              <w:t>(</w:t>
            </w:r>
            <w:r w:rsidR="00F77489">
              <w:rPr>
                <w:b/>
                <w:szCs w:val="28"/>
              </w:rPr>
              <w:t>for all elections)</w:t>
            </w:r>
          </w:p>
        </w:tc>
        <w:tc>
          <w:tcPr>
            <w:tcW w:w="6390" w:type="dxa"/>
          </w:tcPr>
          <w:p w:rsidR="00751960" w:rsidRDefault="00751960" w:rsidP="00873993">
            <w:pPr>
              <w:tabs>
                <w:tab w:val="left" w:pos="560"/>
                <w:tab w:val="center" w:pos="1872"/>
              </w:tabs>
              <w:jc w:val="center"/>
              <w:rPr>
                <w:szCs w:val="28"/>
              </w:rPr>
            </w:pPr>
          </w:p>
          <w:p w:rsidR="00F77489" w:rsidRPr="00322BF9" w:rsidRDefault="00497459" w:rsidP="00497459">
            <w:pPr>
              <w:tabs>
                <w:tab w:val="left" w:pos="560"/>
                <w:tab w:val="center" w:pos="1872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  <w:r w:rsidR="00022AAA" w:rsidRPr="00E66FAC">
              <w:rPr>
                <w:szCs w:val="28"/>
                <w:vertAlign w:val="superscript"/>
              </w:rPr>
              <w:t>th</w:t>
            </w:r>
            <w:r w:rsidR="00022AAA">
              <w:rPr>
                <w:szCs w:val="28"/>
              </w:rPr>
              <w:t xml:space="preserve"> </w:t>
            </w:r>
            <w:r>
              <w:rPr>
                <w:szCs w:val="28"/>
              </w:rPr>
              <w:t>January</w:t>
            </w:r>
            <w:r w:rsidR="00022AAA">
              <w:rPr>
                <w:szCs w:val="28"/>
              </w:rPr>
              <w:t>, 2015</w:t>
            </w:r>
          </w:p>
        </w:tc>
        <w:tc>
          <w:tcPr>
            <w:tcW w:w="4410" w:type="dxa"/>
          </w:tcPr>
          <w:p w:rsidR="00FD1008" w:rsidRPr="00322BF9" w:rsidRDefault="00751960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46 of the Electoral Act, 2010</w:t>
            </w:r>
            <w:r w:rsidR="0092028A">
              <w:rPr>
                <w:szCs w:val="28"/>
              </w:rPr>
              <w:t xml:space="preserve"> </w:t>
            </w:r>
            <w:r w:rsidR="0092028A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 provides not later than 14 days before the election.</w:t>
            </w:r>
          </w:p>
        </w:tc>
      </w:tr>
      <w:tr w:rsidR="00022AAA" w:rsidRPr="00322BF9" w:rsidTr="00B42504">
        <w:tc>
          <w:tcPr>
            <w:tcW w:w="630" w:type="dxa"/>
          </w:tcPr>
          <w:p w:rsidR="00022AAA" w:rsidRPr="00322BF9" w:rsidRDefault="00022AAA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t>12</w:t>
            </w:r>
          </w:p>
        </w:tc>
        <w:tc>
          <w:tcPr>
            <w:tcW w:w="3150" w:type="dxa"/>
          </w:tcPr>
          <w:p w:rsidR="00066001" w:rsidRPr="00322BF9" w:rsidRDefault="00022AAA" w:rsidP="00A6362C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 xml:space="preserve">Submission of names of Party Agents </w:t>
            </w:r>
            <w:r w:rsidRPr="004F0966">
              <w:rPr>
                <w:szCs w:val="28"/>
              </w:rPr>
              <w:t>for the Election</w:t>
            </w:r>
            <w:r w:rsidRPr="00322BF9">
              <w:rPr>
                <w:szCs w:val="28"/>
              </w:rPr>
              <w:t xml:space="preserve"> to the </w:t>
            </w:r>
            <w:r>
              <w:rPr>
                <w:szCs w:val="28"/>
              </w:rPr>
              <w:t>Electoral Officer of the Local Government Areas or Area</w:t>
            </w:r>
            <w:r w:rsidRPr="00322BF9">
              <w:rPr>
                <w:szCs w:val="28"/>
              </w:rPr>
              <w:t xml:space="preserve"> </w:t>
            </w:r>
            <w:r>
              <w:rPr>
                <w:szCs w:val="28"/>
              </w:rPr>
              <w:t>Councils</w:t>
            </w:r>
          </w:p>
        </w:tc>
        <w:tc>
          <w:tcPr>
            <w:tcW w:w="6390" w:type="dxa"/>
          </w:tcPr>
          <w:p w:rsidR="00022AAA" w:rsidRDefault="00022AAA" w:rsidP="00873993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Presidential &amp; National Assembly </w:t>
            </w:r>
            <w:r w:rsidR="00C9301B">
              <w:rPr>
                <w:szCs w:val="28"/>
              </w:rPr>
              <w:t>-</w:t>
            </w:r>
            <w:r w:rsidR="00497459">
              <w:rPr>
                <w:szCs w:val="28"/>
              </w:rPr>
              <w:t>29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January</w:t>
            </w:r>
            <w:r>
              <w:rPr>
                <w:szCs w:val="28"/>
              </w:rPr>
              <w:t>, 2015</w:t>
            </w:r>
          </w:p>
          <w:p w:rsidR="00022AAA" w:rsidRPr="00322BF9" w:rsidRDefault="00022AAA" w:rsidP="00497459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Governorship &amp; State House of Assembly </w:t>
            </w:r>
            <w:r w:rsidR="00C9301B">
              <w:rPr>
                <w:szCs w:val="28"/>
              </w:rPr>
              <w:t>-</w:t>
            </w:r>
            <w:r w:rsidR="00497459">
              <w:rPr>
                <w:szCs w:val="28"/>
              </w:rPr>
              <w:t>12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February</w:t>
            </w:r>
            <w:r>
              <w:rPr>
                <w:szCs w:val="28"/>
              </w:rPr>
              <w:t>, 2015</w:t>
            </w:r>
          </w:p>
        </w:tc>
        <w:tc>
          <w:tcPr>
            <w:tcW w:w="4410" w:type="dxa"/>
          </w:tcPr>
          <w:p w:rsidR="00022AAA" w:rsidRPr="00322BF9" w:rsidRDefault="00022AAA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45 of the Electoral Act, 2010</w:t>
            </w:r>
            <w:r w:rsidR="0092028A">
              <w:rPr>
                <w:szCs w:val="28"/>
              </w:rPr>
              <w:t xml:space="preserve"> </w:t>
            </w:r>
            <w:r w:rsidR="0092028A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>.</w:t>
            </w:r>
            <w:r w:rsidR="00FD1008">
              <w:rPr>
                <w:szCs w:val="28"/>
              </w:rPr>
              <w:t xml:space="preserve"> Provides not later than 7 days </w:t>
            </w:r>
            <w:r w:rsidRPr="00322BF9">
              <w:rPr>
                <w:szCs w:val="28"/>
              </w:rPr>
              <w:t xml:space="preserve">before the election. </w:t>
            </w:r>
          </w:p>
        </w:tc>
      </w:tr>
      <w:tr w:rsidR="00022AAA" w:rsidRPr="00322BF9" w:rsidTr="00B42504">
        <w:tc>
          <w:tcPr>
            <w:tcW w:w="630" w:type="dxa"/>
          </w:tcPr>
          <w:p w:rsidR="00EA0393" w:rsidRDefault="00EA0393" w:rsidP="00873993">
            <w:pPr>
              <w:jc w:val="center"/>
              <w:rPr>
                <w:szCs w:val="28"/>
              </w:rPr>
            </w:pPr>
          </w:p>
          <w:p w:rsidR="00022AAA" w:rsidRPr="00322BF9" w:rsidRDefault="00022AAA" w:rsidP="00873993">
            <w:pPr>
              <w:jc w:val="center"/>
              <w:rPr>
                <w:szCs w:val="28"/>
              </w:rPr>
            </w:pPr>
            <w:r w:rsidRPr="00322BF9">
              <w:rPr>
                <w:szCs w:val="28"/>
              </w:rPr>
              <w:t>13</w:t>
            </w:r>
          </w:p>
        </w:tc>
        <w:tc>
          <w:tcPr>
            <w:tcW w:w="3150" w:type="dxa"/>
          </w:tcPr>
          <w:p w:rsidR="00022AAA" w:rsidRDefault="00022AAA" w:rsidP="00873993">
            <w:pPr>
              <w:jc w:val="both"/>
              <w:rPr>
                <w:szCs w:val="28"/>
              </w:rPr>
            </w:pPr>
          </w:p>
          <w:p w:rsidR="00022AAA" w:rsidRPr="00322BF9" w:rsidRDefault="00022AAA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Last day for campaigns</w:t>
            </w:r>
            <w:r w:rsidRPr="00322BF9">
              <w:rPr>
                <w:b/>
                <w:szCs w:val="28"/>
              </w:rPr>
              <w:t xml:space="preserve"> </w:t>
            </w:r>
          </w:p>
        </w:tc>
        <w:tc>
          <w:tcPr>
            <w:tcW w:w="6390" w:type="dxa"/>
          </w:tcPr>
          <w:p w:rsidR="00873993" w:rsidRPr="00873993" w:rsidRDefault="00873993" w:rsidP="00873993">
            <w:pPr>
              <w:tabs>
                <w:tab w:val="left" w:pos="1260"/>
              </w:tabs>
              <w:spacing w:line="360" w:lineRule="auto"/>
              <w:jc w:val="center"/>
              <w:rPr>
                <w:sz w:val="16"/>
                <w:szCs w:val="28"/>
              </w:rPr>
            </w:pPr>
          </w:p>
          <w:p w:rsidR="00022AAA" w:rsidRDefault="00022AAA" w:rsidP="00873993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Presidential &amp; National Assembly</w:t>
            </w:r>
            <w:r w:rsidR="00C9301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26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March</w:t>
            </w:r>
            <w:r w:rsidR="00497459">
              <w:rPr>
                <w:szCs w:val="28"/>
              </w:rPr>
              <w:t>, 2015</w:t>
            </w:r>
          </w:p>
          <w:p w:rsidR="00022AAA" w:rsidRPr="00322BF9" w:rsidRDefault="00022AAA" w:rsidP="00542971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Governorship &amp; State House of Assembly</w:t>
            </w:r>
            <w:r w:rsidR="00C9301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9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April</w:t>
            </w:r>
            <w:r>
              <w:rPr>
                <w:szCs w:val="28"/>
              </w:rPr>
              <w:t>, 2015</w:t>
            </w:r>
          </w:p>
        </w:tc>
        <w:tc>
          <w:tcPr>
            <w:tcW w:w="4410" w:type="dxa"/>
          </w:tcPr>
          <w:p w:rsidR="00EA0393" w:rsidRDefault="00EA0393" w:rsidP="00873993">
            <w:pPr>
              <w:jc w:val="both"/>
              <w:rPr>
                <w:szCs w:val="28"/>
              </w:rPr>
            </w:pPr>
          </w:p>
          <w:p w:rsidR="00022AAA" w:rsidRDefault="00022AAA" w:rsidP="00873993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99(1) of the Electoral Act, 2010</w:t>
            </w:r>
            <w:r w:rsidR="0092028A">
              <w:rPr>
                <w:szCs w:val="28"/>
              </w:rPr>
              <w:t xml:space="preserve"> </w:t>
            </w:r>
            <w:r w:rsidR="0092028A" w:rsidRPr="00CE3D38">
              <w:rPr>
                <w:sz w:val="28"/>
                <w:szCs w:val="28"/>
              </w:rPr>
              <w:t>(as amended</w:t>
            </w:r>
            <w:r w:rsidR="002D7FA2" w:rsidRPr="00CE3D38">
              <w:rPr>
                <w:sz w:val="28"/>
                <w:szCs w:val="28"/>
              </w:rPr>
              <w:t>)</w:t>
            </w:r>
            <w:r w:rsidR="002D7FA2">
              <w:rPr>
                <w:sz w:val="28"/>
                <w:szCs w:val="28"/>
              </w:rPr>
              <w:t xml:space="preserve"> </w:t>
            </w:r>
            <w:r w:rsidR="002D7FA2" w:rsidRPr="00322BF9">
              <w:rPr>
                <w:szCs w:val="28"/>
              </w:rPr>
              <w:t>prohibits</w:t>
            </w:r>
            <w:r w:rsidRPr="00322BF9">
              <w:rPr>
                <w:szCs w:val="28"/>
              </w:rPr>
              <w:t xml:space="preserve"> Advertisements or broadcasts of campaigns 24 hours prior to the day of election.</w:t>
            </w:r>
          </w:p>
          <w:p w:rsidR="00FD1008" w:rsidRPr="00322BF9" w:rsidRDefault="00FD1008" w:rsidP="00873993">
            <w:pPr>
              <w:jc w:val="both"/>
              <w:rPr>
                <w:szCs w:val="28"/>
              </w:rPr>
            </w:pPr>
          </w:p>
        </w:tc>
      </w:tr>
      <w:tr w:rsidR="00D92DCF" w:rsidRPr="00322BF9" w:rsidTr="00B42504">
        <w:tc>
          <w:tcPr>
            <w:tcW w:w="630" w:type="dxa"/>
          </w:tcPr>
          <w:p w:rsidR="00D92DCF" w:rsidRPr="00322BF9" w:rsidRDefault="00D92DCF" w:rsidP="00873993">
            <w:pPr>
              <w:rPr>
                <w:szCs w:val="28"/>
              </w:rPr>
            </w:pPr>
            <w:r w:rsidRPr="00322BF9">
              <w:rPr>
                <w:szCs w:val="28"/>
              </w:rPr>
              <w:lastRenderedPageBreak/>
              <w:t>14</w:t>
            </w:r>
          </w:p>
          <w:p w:rsidR="00D92DCF" w:rsidRPr="00322BF9" w:rsidRDefault="00D92DCF" w:rsidP="00873993">
            <w:pPr>
              <w:rPr>
                <w:b/>
                <w:szCs w:val="28"/>
              </w:rPr>
            </w:pPr>
          </w:p>
        </w:tc>
        <w:tc>
          <w:tcPr>
            <w:tcW w:w="3150" w:type="dxa"/>
          </w:tcPr>
          <w:p w:rsidR="00D92DCF" w:rsidRPr="00B83321" w:rsidRDefault="00D92DCF" w:rsidP="00873993">
            <w:pPr>
              <w:tabs>
                <w:tab w:val="left" w:pos="560"/>
                <w:tab w:val="center" w:pos="1872"/>
              </w:tabs>
              <w:spacing w:line="360" w:lineRule="auto"/>
              <w:jc w:val="center"/>
              <w:rPr>
                <w:b/>
                <w:szCs w:val="28"/>
              </w:rPr>
            </w:pPr>
            <w:r w:rsidRPr="00B83321">
              <w:rPr>
                <w:b/>
                <w:szCs w:val="28"/>
              </w:rPr>
              <w:t>Date</w:t>
            </w:r>
            <w:r w:rsidR="00EA2710">
              <w:rPr>
                <w:b/>
                <w:szCs w:val="28"/>
              </w:rPr>
              <w:t>s</w:t>
            </w:r>
            <w:r w:rsidRPr="00B83321">
              <w:rPr>
                <w:b/>
                <w:szCs w:val="28"/>
              </w:rPr>
              <w:t xml:space="preserve"> of Elections</w:t>
            </w:r>
          </w:p>
          <w:p w:rsidR="00D92DCF" w:rsidRDefault="00BE02BA" w:rsidP="00873993">
            <w:pPr>
              <w:tabs>
                <w:tab w:val="left" w:pos="560"/>
                <w:tab w:val="center" w:pos="1872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Presidential /</w:t>
            </w:r>
            <w:r w:rsidR="00D92DCF">
              <w:rPr>
                <w:szCs w:val="28"/>
              </w:rPr>
              <w:t xml:space="preserve">National Assembly </w:t>
            </w:r>
          </w:p>
          <w:p w:rsidR="00BE02BA" w:rsidRPr="00BE02BA" w:rsidRDefault="00BE02BA" w:rsidP="00873993">
            <w:pPr>
              <w:tabs>
                <w:tab w:val="left" w:pos="560"/>
                <w:tab w:val="center" w:pos="1872"/>
              </w:tabs>
              <w:spacing w:line="360" w:lineRule="auto"/>
              <w:jc w:val="center"/>
              <w:rPr>
                <w:sz w:val="14"/>
                <w:szCs w:val="28"/>
              </w:rPr>
            </w:pPr>
          </w:p>
          <w:p w:rsidR="00D92DCF" w:rsidRDefault="00D92DCF" w:rsidP="00B83321">
            <w:pPr>
              <w:tabs>
                <w:tab w:val="left" w:pos="560"/>
                <w:tab w:val="center" w:pos="1872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Governorship/State House of Assembly</w:t>
            </w:r>
          </w:p>
        </w:tc>
        <w:tc>
          <w:tcPr>
            <w:tcW w:w="6390" w:type="dxa"/>
          </w:tcPr>
          <w:p w:rsidR="00D92DCF" w:rsidRDefault="00D92DCF" w:rsidP="00873993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</w:p>
          <w:p w:rsidR="00D92DCF" w:rsidRDefault="00D92DCF" w:rsidP="00873993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Presidential &amp; National Assembly</w:t>
            </w:r>
            <w:r w:rsidR="00C9301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28</w:t>
            </w:r>
            <w:r w:rsidR="00497459" w:rsidRPr="00497459">
              <w:rPr>
                <w:szCs w:val="28"/>
                <w:vertAlign w:val="superscript"/>
              </w:rPr>
              <w:t>th</w:t>
            </w:r>
            <w:r w:rsidR="00497459"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March</w:t>
            </w:r>
            <w:r>
              <w:rPr>
                <w:szCs w:val="28"/>
              </w:rPr>
              <w:t>, 2015</w:t>
            </w:r>
          </w:p>
          <w:p w:rsidR="00BE02BA" w:rsidRDefault="00BE02BA" w:rsidP="00542971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</w:p>
          <w:p w:rsidR="00BE02BA" w:rsidRPr="00BE02BA" w:rsidRDefault="00BE02BA" w:rsidP="00542971">
            <w:pPr>
              <w:tabs>
                <w:tab w:val="left" w:pos="1260"/>
              </w:tabs>
              <w:spacing w:line="360" w:lineRule="auto"/>
              <w:jc w:val="center"/>
              <w:rPr>
                <w:sz w:val="18"/>
                <w:szCs w:val="28"/>
              </w:rPr>
            </w:pPr>
          </w:p>
          <w:p w:rsidR="00D92DCF" w:rsidRPr="00322BF9" w:rsidRDefault="00D92DCF" w:rsidP="00542971">
            <w:pPr>
              <w:tabs>
                <w:tab w:val="left" w:pos="1260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Governorship &amp; State House of Assembly </w:t>
            </w:r>
            <w:r w:rsidR="001F4763">
              <w:rPr>
                <w:szCs w:val="28"/>
              </w:rPr>
              <w:t>-</w:t>
            </w:r>
            <w:r w:rsidR="00542971">
              <w:rPr>
                <w:szCs w:val="28"/>
              </w:rPr>
              <w:t>11</w:t>
            </w:r>
            <w:r w:rsidRPr="00022AAA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</w:t>
            </w:r>
            <w:r w:rsidR="00542971">
              <w:rPr>
                <w:szCs w:val="28"/>
              </w:rPr>
              <w:t>April</w:t>
            </w:r>
            <w:r>
              <w:rPr>
                <w:szCs w:val="28"/>
              </w:rPr>
              <w:t>, 2015</w:t>
            </w:r>
          </w:p>
        </w:tc>
        <w:tc>
          <w:tcPr>
            <w:tcW w:w="4410" w:type="dxa"/>
          </w:tcPr>
          <w:p w:rsidR="00D92DCF" w:rsidRPr="00322BF9" w:rsidRDefault="00D92DCF" w:rsidP="006565E6">
            <w:pPr>
              <w:jc w:val="both"/>
              <w:rPr>
                <w:szCs w:val="28"/>
              </w:rPr>
            </w:pPr>
            <w:r w:rsidRPr="00322BF9">
              <w:rPr>
                <w:szCs w:val="28"/>
              </w:rPr>
              <w:t>Section 25 of the Electoral Act, 2010</w:t>
            </w:r>
            <w:r w:rsidR="002D7FA2">
              <w:rPr>
                <w:szCs w:val="28"/>
              </w:rPr>
              <w:t xml:space="preserve"> </w:t>
            </w:r>
            <w:r w:rsidR="002D7FA2" w:rsidRPr="00CE3D38">
              <w:rPr>
                <w:sz w:val="28"/>
                <w:szCs w:val="28"/>
              </w:rPr>
              <w:t>(as amended)</w:t>
            </w:r>
            <w:r w:rsidRPr="00322BF9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provides </w:t>
            </w:r>
            <w:r w:rsidR="006565E6">
              <w:rPr>
                <w:szCs w:val="28"/>
              </w:rPr>
              <w:t>that Commission to appoint</w:t>
            </w:r>
            <w:r w:rsidR="00CC7A51">
              <w:rPr>
                <w:szCs w:val="28"/>
              </w:rPr>
              <w:t xml:space="preserve"> date not earlier</w:t>
            </w:r>
            <w:r>
              <w:rPr>
                <w:szCs w:val="28"/>
              </w:rPr>
              <w:t xml:space="preserve"> than 150 days</w:t>
            </w:r>
            <w:r w:rsidR="00CC7A51">
              <w:rPr>
                <w:szCs w:val="28"/>
              </w:rPr>
              <w:t xml:space="preserve"> but not later than 30 days</w:t>
            </w:r>
            <w:r>
              <w:rPr>
                <w:szCs w:val="28"/>
              </w:rPr>
              <w:t xml:space="preserve"> before the expiration of the term of office of the last holder of that office</w:t>
            </w:r>
            <w:r w:rsidRPr="00322BF9">
              <w:rPr>
                <w:szCs w:val="28"/>
              </w:rPr>
              <w:t>.</w:t>
            </w:r>
          </w:p>
        </w:tc>
      </w:tr>
    </w:tbl>
    <w:p w:rsidR="00CD70A4" w:rsidRPr="00322BF9" w:rsidRDefault="00CD70A4" w:rsidP="00CD70A4">
      <w:pPr>
        <w:rPr>
          <w:b/>
          <w:sz w:val="16"/>
          <w:szCs w:val="28"/>
        </w:rPr>
      </w:pPr>
    </w:p>
    <w:p w:rsidR="00CD70A4" w:rsidRDefault="00CD70A4" w:rsidP="00772080">
      <w:pPr>
        <w:jc w:val="both"/>
        <w:rPr>
          <w:b/>
          <w:sz w:val="28"/>
          <w:szCs w:val="28"/>
        </w:rPr>
      </w:pPr>
      <w:r w:rsidRPr="00904FC7">
        <w:rPr>
          <w:b/>
          <w:sz w:val="28"/>
          <w:szCs w:val="28"/>
        </w:rPr>
        <w:t xml:space="preserve">Note: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) </w:t>
      </w:r>
      <w:r w:rsidRPr="00904FC7">
        <w:rPr>
          <w:b/>
          <w:sz w:val="28"/>
          <w:szCs w:val="28"/>
        </w:rPr>
        <w:t>Run off</w:t>
      </w:r>
      <w:r>
        <w:rPr>
          <w:b/>
          <w:sz w:val="28"/>
          <w:szCs w:val="28"/>
        </w:rPr>
        <w:t xml:space="preserve"> election</w:t>
      </w:r>
      <w:r w:rsidRPr="00904F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 the office of </w:t>
      </w:r>
      <w:r w:rsidR="00772080">
        <w:rPr>
          <w:b/>
          <w:sz w:val="28"/>
          <w:szCs w:val="28"/>
        </w:rPr>
        <w:t xml:space="preserve">President or </w:t>
      </w:r>
      <w:r w:rsidRPr="00FD13E9">
        <w:rPr>
          <w:b/>
          <w:sz w:val="28"/>
          <w:szCs w:val="28"/>
        </w:rPr>
        <w:t>Governor</w:t>
      </w:r>
      <w:r>
        <w:rPr>
          <w:b/>
          <w:sz w:val="28"/>
          <w:szCs w:val="28"/>
        </w:rPr>
        <w:t xml:space="preserve"> of a State </w:t>
      </w:r>
      <w:r w:rsidRPr="00904FC7">
        <w:rPr>
          <w:b/>
          <w:sz w:val="28"/>
          <w:szCs w:val="28"/>
        </w:rPr>
        <w:t xml:space="preserve">(if </w:t>
      </w:r>
      <w:r>
        <w:rPr>
          <w:b/>
          <w:sz w:val="28"/>
          <w:szCs w:val="28"/>
        </w:rPr>
        <w:t>any</w:t>
      </w:r>
      <w:r w:rsidRPr="00904FC7">
        <w:rPr>
          <w:b/>
          <w:sz w:val="28"/>
          <w:szCs w:val="28"/>
        </w:rPr>
        <w:t>) will be held within 7 days after the announcement of the result of the election</w:t>
      </w:r>
      <w:r>
        <w:rPr>
          <w:b/>
          <w:sz w:val="28"/>
          <w:szCs w:val="28"/>
        </w:rPr>
        <w:t xml:space="preserve"> in accordance with the Constitution of the Federal Republic of Nigeria, 1999 (as amended).</w:t>
      </w:r>
    </w:p>
    <w:p w:rsidR="00AB4FC9" w:rsidRDefault="00AB4FC9" w:rsidP="00772080">
      <w:pPr>
        <w:jc w:val="both"/>
        <w:rPr>
          <w:b/>
          <w:sz w:val="28"/>
          <w:szCs w:val="28"/>
        </w:rPr>
      </w:pPr>
    </w:p>
    <w:p w:rsidR="00AB4FC9" w:rsidRDefault="00AB4FC9" w:rsidP="0077208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Dated this </w:t>
      </w:r>
      <w:r w:rsidR="00BC4075">
        <w:rPr>
          <w:b/>
          <w:sz w:val="28"/>
          <w:szCs w:val="28"/>
        </w:rPr>
        <w:t>11</w:t>
      </w:r>
      <w:r w:rsidRPr="00AB4FC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day of </w:t>
      </w:r>
      <w:proofErr w:type="gramStart"/>
      <w:r w:rsidR="00BC4075">
        <w:rPr>
          <w:b/>
          <w:sz w:val="28"/>
          <w:szCs w:val="28"/>
        </w:rPr>
        <w:t>February,</w:t>
      </w:r>
      <w:proofErr w:type="gramEnd"/>
      <w:r w:rsidR="00BC4075">
        <w:rPr>
          <w:b/>
          <w:sz w:val="28"/>
          <w:szCs w:val="28"/>
        </w:rPr>
        <w:t xml:space="preserve"> 2015.</w:t>
      </w:r>
    </w:p>
    <w:p w:rsidR="00AB4FC9" w:rsidRDefault="00AB4FC9" w:rsidP="00AB4FC9">
      <w:pPr>
        <w:rPr>
          <w:sz w:val="28"/>
          <w:szCs w:val="28"/>
        </w:rPr>
      </w:pPr>
    </w:p>
    <w:p w:rsidR="00AB4FC9" w:rsidRDefault="00AB4FC9" w:rsidP="00AB4FC9">
      <w:pPr>
        <w:rPr>
          <w:sz w:val="28"/>
          <w:szCs w:val="28"/>
        </w:rPr>
      </w:pPr>
    </w:p>
    <w:p w:rsidR="00AB4FC9" w:rsidRDefault="00AB4FC9" w:rsidP="00AB4FC9">
      <w:pPr>
        <w:rPr>
          <w:sz w:val="28"/>
          <w:szCs w:val="28"/>
        </w:rPr>
      </w:pPr>
    </w:p>
    <w:p w:rsidR="00AB4FC9" w:rsidRDefault="00AB4FC9" w:rsidP="00AB4FC9">
      <w:pPr>
        <w:rPr>
          <w:sz w:val="28"/>
          <w:szCs w:val="28"/>
        </w:rPr>
      </w:pPr>
      <w:r w:rsidRPr="00E72806">
        <w:rPr>
          <w:sz w:val="28"/>
          <w:szCs w:val="28"/>
        </w:rPr>
        <w:t>Mrs</w:t>
      </w:r>
      <w:r w:rsidR="00066001">
        <w:rPr>
          <w:sz w:val="28"/>
          <w:szCs w:val="28"/>
        </w:rPr>
        <w:t>.</w:t>
      </w:r>
      <w:r w:rsidRPr="00E72806">
        <w:rPr>
          <w:sz w:val="28"/>
          <w:szCs w:val="28"/>
        </w:rPr>
        <w:t xml:space="preserve"> Augusta C. </w:t>
      </w:r>
      <w:proofErr w:type="spellStart"/>
      <w:r w:rsidRPr="00E72806">
        <w:rPr>
          <w:sz w:val="28"/>
          <w:szCs w:val="28"/>
        </w:rPr>
        <w:t>Ogakwu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B4FC9" w:rsidRPr="00B00999" w:rsidRDefault="00AB4FC9" w:rsidP="00AB4FC9">
      <w:pPr>
        <w:rPr>
          <w:sz w:val="28"/>
          <w:szCs w:val="28"/>
        </w:rPr>
      </w:pPr>
      <w:r>
        <w:rPr>
          <w:sz w:val="28"/>
          <w:szCs w:val="28"/>
        </w:rPr>
        <w:t>Secretary to the Commission</w:t>
      </w:r>
    </w:p>
    <w:p w:rsidR="00AB4FC9" w:rsidRDefault="00AB4FC9" w:rsidP="00AB4FC9"/>
    <w:p w:rsidR="00AB4FC9" w:rsidRDefault="00AB4FC9" w:rsidP="00772080">
      <w:pPr>
        <w:jc w:val="both"/>
        <w:rPr>
          <w:b/>
          <w:sz w:val="28"/>
          <w:szCs w:val="28"/>
        </w:rPr>
      </w:pPr>
    </w:p>
    <w:p w:rsidR="00845DF8" w:rsidRDefault="00845DF8"/>
    <w:p w:rsidR="001C38D8" w:rsidRDefault="001C38D8"/>
    <w:p w:rsidR="001C38D8" w:rsidRDefault="001C38D8"/>
    <w:p w:rsidR="001C38D8" w:rsidRDefault="001C38D8"/>
    <w:p w:rsidR="001C38D8" w:rsidRDefault="001C38D8"/>
    <w:p w:rsidR="001C38D8" w:rsidRDefault="001C38D8"/>
    <w:sectPr w:rsidR="001C38D8" w:rsidSect="00873993">
      <w:footerReference w:type="default" r:id="rId8"/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30D" w:rsidRDefault="007F330D" w:rsidP="001563DC">
      <w:r>
        <w:separator/>
      </w:r>
    </w:p>
  </w:endnote>
  <w:endnote w:type="continuationSeparator" w:id="0">
    <w:p w:rsidR="007F330D" w:rsidRDefault="007F330D" w:rsidP="001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06038"/>
      <w:docPartObj>
        <w:docPartGallery w:val="Page Numbers (Bottom of Page)"/>
        <w:docPartUnique/>
      </w:docPartObj>
    </w:sdtPr>
    <w:sdtEndPr/>
    <w:sdtContent>
      <w:p w:rsidR="00873993" w:rsidRDefault="00BE2E89">
        <w:pPr>
          <w:pStyle w:val="Footer"/>
          <w:jc w:val="right"/>
        </w:pPr>
        <w:r>
          <w:fldChar w:fldCharType="begin"/>
        </w:r>
        <w:r w:rsidR="00A210BB">
          <w:instrText xml:space="preserve"> PAGE   \* MERGEFORMAT </w:instrText>
        </w:r>
        <w:r>
          <w:fldChar w:fldCharType="separate"/>
        </w:r>
        <w:r w:rsidR="00EC34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3993" w:rsidRDefault="00873993" w:rsidP="0087399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30D" w:rsidRDefault="007F330D" w:rsidP="001563DC">
      <w:r>
        <w:separator/>
      </w:r>
    </w:p>
  </w:footnote>
  <w:footnote w:type="continuationSeparator" w:id="0">
    <w:p w:rsidR="007F330D" w:rsidRDefault="007F330D" w:rsidP="00156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F8"/>
    <w:rsid w:val="00022AAA"/>
    <w:rsid w:val="0004588E"/>
    <w:rsid w:val="00060E23"/>
    <w:rsid w:val="00066001"/>
    <w:rsid w:val="000A0F20"/>
    <w:rsid w:val="000E69DD"/>
    <w:rsid w:val="001279D7"/>
    <w:rsid w:val="001533BF"/>
    <w:rsid w:val="001563DC"/>
    <w:rsid w:val="0016139D"/>
    <w:rsid w:val="00176EE0"/>
    <w:rsid w:val="0019289B"/>
    <w:rsid w:val="001C38D8"/>
    <w:rsid w:val="001F4763"/>
    <w:rsid w:val="00231E26"/>
    <w:rsid w:val="00240893"/>
    <w:rsid w:val="00246F8D"/>
    <w:rsid w:val="00261742"/>
    <w:rsid w:val="00291254"/>
    <w:rsid w:val="002D7FA2"/>
    <w:rsid w:val="002E7698"/>
    <w:rsid w:val="002F5D6B"/>
    <w:rsid w:val="00340F48"/>
    <w:rsid w:val="003611B5"/>
    <w:rsid w:val="0037740F"/>
    <w:rsid w:val="00383046"/>
    <w:rsid w:val="00391BF5"/>
    <w:rsid w:val="0039630B"/>
    <w:rsid w:val="003B0DC5"/>
    <w:rsid w:val="003D1D3D"/>
    <w:rsid w:val="003D2BA6"/>
    <w:rsid w:val="003E2B0C"/>
    <w:rsid w:val="003F10CD"/>
    <w:rsid w:val="00402891"/>
    <w:rsid w:val="00405C72"/>
    <w:rsid w:val="00437418"/>
    <w:rsid w:val="00497459"/>
    <w:rsid w:val="004B27EE"/>
    <w:rsid w:val="004E1EBD"/>
    <w:rsid w:val="004E20C1"/>
    <w:rsid w:val="004E6823"/>
    <w:rsid w:val="004F0966"/>
    <w:rsid w:val="00512809"/>
    <w:rsid w:val="005421B9"/>
    <w:rsid w:val="00542971"/>
    <w:rsid w:val="00553F6F"/>
    <w:rsid w:val="00556C04"/>
    <w:rsid w:val="005752D8"/>
    <w:rsid w:val="00582352"/>
    <w:rsid w:val="0059125F"/>
    <w:rsid w:val="005B5EBA"/>
    <w:rsid w:val="006565E6"/>
    <w:rsid w:val="006C7E7B"/>
    <w:rsid w:val="006D5669"/>
    <w:rsid w:val="006D7414"/>
    <w:rsid w:val="007357B8"/>
    <w:rsid w:val="00751960"/>
    <w:rsid w:val="00772080"/>
    <w:rsid w:val="007B2940"/>
    <w:rsid w:val="007F330D"/>
    <w:rsid w:val="00803CA0"/>
    <w:rsid w:val="00845DF8"/>
    <w:rsid w:val="00873993"/>
    <w:rsid w:val="00880986"/>
    <w:rsid w:val="008A674E"/>
    <w:rsid w:val="008A70E5"/>
    <w:rsid w:val="008B778C"/>
    <w:rsid w:val="008F7023"/>
    <w:rsid w:val="0092028A"/>
    <w:rsid w:val="00930463"/>
    <w:rsid w:val="009322B3"/>
    <w:rsid w:val="00934ACB"/>
    <w:rsid w:val="00975594"/>
    <w:rsid w:val="00982204"/>
    <w:rsid w:val="0099122A"/>
    <w:rsid w:val="009A3ACC"/>
    <w:rsid w:val="009C42EA"/>
    <w:rsid w:val="009D7EE4"/>
    <w:rsid w:val="00A210BB"/>
    <w:rsid w:val="00A23A17"/>
    <w:rsid w:val="00A635D7"/>
    <w:rsid w:val="00A6362C"/>
    <w:rsid w:val="00A81C45"/>
    <w:rsid w:val="00AB4FC9"/>
    <w:rsid w:val="00B133B6"/>
    <w:rsid w:val="00B42504"/>
    <w:rsid w:val="00B50B6D"/>
    <w:rsid w:val="00B60B15"/>
    <w:rsid w:val="00B83321"/>
    <w:rsid w:val="00B924A8"/>
    <w:rsid w:val="00BB3817"/>
    <w:rsid w:val="00BC4075"/>
    <w:rsid w:val="00BE02BA"/>
    <w:rsid w:val="00BE2E89"/>
    <w:rsid w:val="00C22C8F"/>
    <w:rsid w:val="00C31118"/>
    <w:rsid w:val="00C33013"/>
    <w:rsid w:val="00C52BF2"/>
    <w:rsid w:val="00C9301B"/>
    <w:rsid w:val="00CC7A51"/>
    <w:rsid w:val="00CD70A4"/>
    <w:rsid w:val="00CF18AA"/>
    <w:rsid w:val="00D00551"/>
    <w:rsid w:val="00D020D4"/>
    <w:rsid w:val="00D073DC"/>
    <w:rsid w:val="00D54C4E"/>
    <w:rsid w:val="00D8191E"/>
    <w:rsid w:val="00D92DCF"/>
    <w:rsid w:val="00DB5BF1"/>
    <w:rsid w:val="00DE30FB"/>
    <w:rsid w:val="00E41CBB"/>
    <w:rsid w:val="00E4524D"/>
    <w:rsid w:val="00E617D9"/>
    <w:rsid w:val="00E66FAC"/>
    <w:rsid w:val="00EA0393"/>
    <w:rsid w:val="00EA2710"/>
    <w:rsid w:val="00EA3180"/>
    <w:rsid w:val="00EB03AC"/>
    <w:rsid w:val="00EB7A68"/>
    <w:rsid w:val="00EC3436"/>
    <w:rsid w:val="00ED440D"/>
    <w:rsid w:val="00EF06B9"/>
    <w:rsid w:val="00F118A8"/>
    <w:rsid w:val="00F65675"/>
    <w:rsid w:val="00F77489"/>
    <w:rsid w:val="00F850FF"/>
    <w:rsid w:val="00F9672F"/>
    <w:rsid w:val="00FB2CD4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D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45DF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5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96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72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D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45DF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5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96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72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8F7C-A10A-824C-A349-E64BEAF4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676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Muheez</dc:creator>
  <cp:lastModifiedBy>frank inec</cp:lastModifiedBy>
  <cp:revision>2</cp:revision>
  <cp:lastPrinted>2015-02-11T17:14:00Z</cp:lastPrinted>
  <dcterms:created xsi:type="dcterms:W3CDTF">2015-02-11T17:30:00Z</dcterms:created>
  <dcterms:modified xsi:type="dcterms:W3CDTF">2015-02-11T17:30:00Z</dcterms:modified>
</cp:coreProperties>
</file>