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919f2b5121d9d5ecfbb3f388f2c20dcefc7245"/>
    <w:p>
      <w:pPr>
        <w:pStyle w:val="Heading1"/>
      </w:pPr>
      <w:r>
        <w:t xml:space="preserve">PLAYBOOK DE RESPOSTA A INCIDENTES DE DADOS PESSOAIS (MODELO)</w:t>
      </w:r>
    </w:p>
    <w:p>
      <w:pPr>
        <w:pStyle w:val="FirstParagraph"/>
      </w:pPr>
      <w:r>
        <w:t xml:space="preserve">Status: rascunho inicial para startup</w:t>
      </w:r>
      <w:r>
        <w:br/>
      </w:r>
      <w:r>
        <w:t xml:space="preserve">Versao: 1.0</w:t>
      </w:r>
      <w:r>
        <w:br/>
      </w:r>
      <w:r>
        <w:t xml:space="preserve">Data: 13/03/2026</w:t>
      </w:r>
      <w:r>
        <w:br/>
      </w:r>
      <w:r>
        <w:t xml:space="preserve">Classificacao: uso interno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um procedimento pratico para detectar, conter, investigar, comunicar e encerrar incidentes envolvendo dados pessoais na plataforma.</w:t>
      </w:r>
    </w:p>
    <w:bookmarkEnd w:id="9"/>
    <w:bookmarkStart w:id="10" w:name="escopo"/>
    <w:p>
      <w:pPr>
        <w:pStyle w:val="Heading2"/>
      </w:pPr>
      <w:r>
        <w:t xml:space="preserve">2. Escopo</w:t>
      </w:r>
    </w:p>
    <w:p>
      <w:pPr>
        <w:pStyle w:val="FirstParagraph"/>
      </w:pPr>
      <w:r>
        <w:t xml:space="preserve">Aplica-se a qualquer evento com potencial de:</w:t>
      </w:r>
      <w:r>
        <w:t xml:space="preserve"> </w:t>
      </w:r>
      <w:r>
        <w:t xml:space="preserve">- acesso nao autorizado a dados pessoais</w:t>
      </w:r>
      <w:r>
        <w:t xml:space="preserve"> </w:t>
      </w:r>
      <w:r>
        <w:t xml:space="preserve">- vazamento/exposicao indevida</w:t>
      </w:r>
      <w:r>
        <w:t xml:space="preserve"> </w:t>
      </w:r>
      <w:r>
        <w:t xml:space="preserve">- perda, alteracao ou indisponibilidade relevante de dados pessoais</w:t>
      </w:r>
      <w:r>
        <w:t xml:space="preserve"> </w:t>
      </w:r>
      <w:r>
        <w:t xml:space="preserve">- uso indevido de credenciais/sessoes</w:t>
      </w:r>
    </w:p>
    <w:bookmarkEnd w:id="10"/>
    <w:bookmarkStart w:id="11" w:name="time-de-resposta-preencher"/>
    <w:p>
      <w:pPr>
        <w:pStyle w:val="Heading2"/>
      </w:pPr>
      <w:r>
        <w:t xml:space="preserve">3. Time de Resposta (preencher)</w:t>
      </w:r>
    </w:p>
    <w:p>
      <w:pPr>
        <w:pStyle w:val="Compact"/>
        <w:numPr>
          <w:ilvl w:val="0"/>
          <w:numId w:val="1001"/>
        </w:numPr>
      </w:pPr>
      <w:r>
        <w:t xml:space="preserve">Incident Lead:</w:t>
      </w:r>
      <w:r>
        <w:t xml:space="preserve"> </w:t>
      </w:r>
      <w:r>
        <w:rPr>
          <w:rStyle w:val="VerbatimChar"/>
        </w:rPr>
        <w:t xml:space="preserve">[nome/cargo]</w:t>
      </w:r>
    </w:p>
    <w:p>
      <w:pPr>
        <w:pStyle w:val="Compact"/>
        <w:numPr>
          <w:ilvl w:val="0"/>
          <w:numId w:val="1001"/>
        </w:numPr>
      </w:pPr>
      <w:r>
        <w:t xml:space="preserve">Tech Lead/SecOps:</w:t>
      </w:r>
      <w:r>
        <w:t xml:space="preserve"> </w:t>
      </w:r>
      <w:r>
        <w:rPr>
          <w:rStyle w:val="VerbatimChar"/>
        </w:rPr>
        <w:t xml:space="preserve">[nome/cargo]</w:t>
      </w:r>
    </w:p>
    <w:p>
      <w:pPr>
        <w:pStyle w:val="Compact"/>
        <w:numPr>
          <w:ilvl w:val="0"/>
          <w:numId w:val="1001"/>
        </w:numPr>
      </w:pPr>
      <w:r>
        <w:t xml:space="preserve">Juridico/DPO:</w:t>
      </w:r>
      <w:r>
        <w:t xml:space="preserve"> </w:t>
      </w:r>
      <w:r>
        <w:rPr>
          <w:rStyle w:val="VerbatimChar"/>
        </w:rPr>
        <w:t xml:space="preserve">[nome/cargo]</w:t>
      </w:r>
    </w:p>
    <w:p>
      <w:pPr>
        <w:pStyle w:val="Compact"/>
        <w:numPr>
          <w:ilvl w:val="0"/>
          <w:numId w:val="1001"/>
        </w:numPr>
      </w:pPr>
      <w:r>
        <w:t xml:space="preserve">Comunicacao/Atendimento:</w:t>
      </w:r>
      <w:r>
        <w:t xml:space="preserve"> </w:t>
      </w:r>
      <w:r>
        <w:rPr>
          <w:rStyle w:val="VerbatimChar"/>
        </w:rPr>
        <w:t xml:space="preserve">[nome/cargo]</w:t>
      </w:r>
    </w:p>
    <w:p>
      <w:pPr>
        <w:pStyle w:val="Compact"/>
        <w:numPr>
          <w:ilvl w:val="0"/>
          <w:numId w:val="1001"/>
        </w:numPr>
      </w:pPr>
      <w:r>
        <w:t xml:space="preserve">Backup de plantao:</w:t>
      </w:r>
      <w:r>
        <w:t xml:space="preserve"> </w:t>
      </w:r>
      <w:r>
        <w:rPr>
          <w:rStyle w:val="VerbatimChar"/>
        </w:rPr>
        <w:t xml:space="preserve">[nome/cargo]</w:t>
      </w:r>
    </w:p>
    <w:p>
      <w:pPr>
        <w:pStyle w:val="FirstParagraph"/>
      </w:pPr>
      <w:r>
        <w:t xml:space="preserve">Canal interno de crise:</w:t>
      </w:r>
      <w:r>
        <w:t xml:space="preserve"> </w:t>
      </w:r>
      <w:r>
        <w:rPr>
          <w:rStyle w:val="VerbatimChar"/>
        </w:rPr>
        <w:t xml:space="preserve">[Slack/WhatsApp/Email]</w:t>
      </w:r>
    </w:p>
    <w:bookmarkEnd w:id="11"/>
    <w:bookmarkStart w:id="12" w:name="classificacao-de-severidade"/>
    <w:p>
      <w:pPr>
        <w:pStyle w:val="Heading2"/>
      </w:pPr>
      <w:r>
        <w:t xml:space="preserve">4. Classificacao de Severidade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SEV-1</w:t>
      </w:r>
      <w:r>
        <w:t xml:space="preserve"> </w:t>
      </w:r>
      <w:r>
        <w:t xml:space="preserve">Critico:</w:t>
      </w:r>
    </w:p>
    <w:p>
      <w:pPr>
        <w:pStyle w:val="Compact"/>
        <w:numPr>
          <w:ilvl w:val="1"/>
          <w:numId w:val="1003"/>
        </w:numPr>
      </w:pPr>
      <w:r>
        <w:t xml:space="preserve">dados sensiveis ou grande volume afetado, risco alto ao titular, incidente em curso.</w:t>
      </w:r>
    </w:p>
    <w:p>
      <w:pPr>
        <w:pStyle w:val="Compact"/>
        <w:numPr>
          <w:ilvl w:val="1"/>
          <w:numId w:val="1003"/>
        </w:numPr>
      </w:pPr>
      <w:r>
        <w:t xml:space="preserve">acao imediata e mobilizacao total.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SEV-2</w:t>
      </w:r>
      <w:r>
        <w:t xml:space="preserve"> </w:t>
      </w:r>
      <w:r>
        <w:t xml:space="preserve">Alto:</w:t>
      </w:r>
    </w:p>
    <w:p>
      <w:pPr>
        <w:pStyle w:val="Compact"/>
        <w:numPr>
          <w:ilvl w:val="1"/>
          <w:numId w:val="1004"/>
        </w:numPr>
      </w:pPr>
      <w:r>
        <w:t xml:space="preserve">exposicao relevante, escopo delimitado, impacto moderado/alto.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SEV-3</w:t>
      </w:r>
      <w:r>
        <w:t xml:space="preserve"> </w:t>
      </w:r>
      <w:r>
        <w:t xml:space="preserve">Medio:</w:t>
      </w:r>
    </w:p>
    <w:p>
      <w:pPr>
        <w:pStyle w:val="Compact"/>
        <w:numPr>
          <w:ilvl w:val="1"/>
          <w:numId w:val="1005"/>
        </w:numPr>
      </w:pPr>
      <w:r>
        <w:t xml:space="preserve">risco limitado, sem evidencia de exfiltracao, impacto controlavel.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SEV-4</w:t>
      </w:r>
      <w:r>
        <w:t xml:space="preserve"> </w:t>
      </w:r>
      <w:r>
        <w:t xml:space="preserve">Baixo:</w:t>
      </w:r>
    </w:p>
    <w:p>
      <w:pPr>
        <w:pStyle w:val="Compact"/>
        <w:numPr>
          <w:ilvl w:val="1"/>
          <w:numId w:val="1006"/>
        </w:numPr>
      </w:pPr>
      <w:r>
        <w:t xml:space="preserve">falso positivo ou evento sem impacto efetivo em dados pessoais.</w:t>
      </w:r>
    </w:p>
    <w:bookmarkEnd w:id="12"/>
    <w:bookmarkStart w:id="20" w:name="fluxo-operacional"/>
    <w:p>
      <w:pPr>
        <w:pStyle w:val="Heading2"/>
      </w:pPr>
      <w:r>
        <w:t xml:space="preserve">5. Fluxo Operacional</w:t>
      </w:r>
    </w:p>
    <w:bookmarkStart w:id="13" w:name="deteccao-e-abertura"/>
    <w:p>
      <w:pPr>
        <w:pStyle w:val="Heading3"/>
      </w:pPr>
      <w:r>
        <w:t xml:space="preserve">5.1 Deteccao e Abertura</w:t>
      </w:r>
    </w:p>
    <w:p>
      <w:pPr>
        <w:pStyle w:val="Compact"/>
        <w:numPr>
          <w:ilvl w:val="0"/>
          <w:numId w:val="1007"/>
        </w:numPr>
      </w:pPr>
      <w:r>
        <w:t xml:space="preserve">Registrar incidente com:</w:t>
      </w:r>
    </w:p>
    <w:p>
      <w:pPr>
        <w:pStyle w:val="Compact"/>
        <w:numPr>
          <w:ilvl w:val="0"/>
          <w:numId w:val="1008"/>
        </w:numPr>
      </w:pPr>
      <w:r>
        <w:t xml:space="preserve">data/hora da deteccao</w:t>
      </w:r>
    </w:p>
    <w:p>
      <w:pPr>
        <w:pStyle w:val="Compact"/>
        <w:numPr>
          <w:ilvl w:val="0"/>
          <w:numId w:val="1008"/>
        </w:numPr>
      </w:pPr>
      <w:r>
        <w:t xml:space="preserve">origem do alerta</w:t>
      </w:r>
    </w:p>
    <w:p>
      <w:pPr>
        <w:pStyle w:val="Compact"/>
        <w:numPr>
          <w:ilvl w:val="0"/>
          <w:numId w:val="1008"/>
        </w:numPr>
      </w:pPr>
      <w:r>
        <w:t xml:space="preserve">sistema/modulo afetado</w:t>
      </w:r>
    </w:p>
    <w:p>
      <w:pPr>
        <w:pStyle w:val="Compact"/>
        <w:numPr>
          <w:ilvl w:val="0"/>
          <w:numId w:val="1008"/>
        </w:numPr>
      </w:pPr>
      <w:r>
        <w:t xml:space="preserve">descricao inicial</w:t>
      </w:r>
    </w:p>
    <w:p>
      <w:pPr>
        <w:pStyle w:val="Compact"/>
        <w:numPr>
          <w:ilvl w:val="0"/>
          <w:numId w:val="1009"/>
        </w:numPr>
      </w:pPr>
      <w:r>
        <w:t xml:space="preserve">Atribuir severidade inicial e owner.</w:t>
      </w:r>
    </w:p>
    <w:bookmarkEnd w:id="13"/>
    <w:bookmarkStart w:id="14" w:name="contencao-imediata"/>
    <w:p>
      <w:pPr>
        <w:pStyle w:val="Heading3"/>
      </w:pPr>
      <w:r>
        <w:t xml:space="preserve">5.2 Contencao Imediata</w:t>
      </w:r>
    </w:p>
    <w:p>
      <w:pPr>
        <w:pStyle w:val="FirstParagraph"/>
      </w:pPr>
      <w:r>
        <w:t xml:space="preserve">Checklist tecnico:</w:t>
      </w:r>
      <w:r>
        <w:t xml:space="preserve"> </w:t>
      </w:r>
      <w:r>
        <w:t xml:space="preserve">- revogar sessoes/tokens comprometidos</w:t>
      </w:r>
      <w:r>
        <w:t xml:space="preserve"> </w:t>
      </w:r>
      <w:r>
        <w:t xml:space="preserve">- rotacionar segredos/chaves</w:t>
      </w:r>
      <w:r>
        <w:t xml:space="preserve"> </w:t>
      </w:r>
      <w:r>
        <w:t xml:space="preserve">- bloquear endpoint/usuario/IP suspeito</w:t>
      </w:r>
      <w:r>
        <w:t xml:space="preserve"> </w:t>
      </w:r>
      <w:r>
        <w:t xml:space="preserve">- desabilitar funcionalidade de risco (se necessario)</w:t>
      </w:r>
      <w:r>
        <w:t xml:space="preserve"> </w:t>
      </w:r>
      <w:r>
        <w:t xml:space="preserve">- preservar evidencias (logs, snapshots, queries)</w:t>
      </w:r>
    </w:p>
    <w:bookmarkEnd w:id="14"/>
    <w:bookmarkStart w:id="15" w:name="investigacao"/>
    <w:p>
      <w:pPr>
        <w:pStyle w:val="Heading3"/>
      </w:pPr>
      <w:r>
        <w:t xml:space="preserve">5.3 Investigacao</w:t>
      </w:r>
    </w:p>
    <w:p>
      <w:pPr>
        <w:pStyle w:val="FirstParagraph"/>
      </w:pPr>
      <w:r>
        <w:t xml:space="preserve">Checklist:</w:t>
      </w:r>
      <w:r>
        <w:t xml:space="preserve"> </w:t>
      </w:r>
      <w:r>
        <w:t xml:space="preserve">- identificar vetor de ataque/falha</w:t>
      </w:r>
      <w:r>
        <w:t xml:space="preserve"> </w:t>
      </w:r>
      <w:r>
        <w:t xml:space="preserve">- delimitar janela temporal</w:t>
      </w:r>
      <w:r>
        <w:t xml:space="preserve"> </w:t>
      </w:r>
      <w:r>
        <w:t xml:space="preserve">- mapear dados potencialmente afetados (categorias e quantidade)</w:t>
      </w:r>
      <w:r>
        <w:t xml:space="preserve"> </w:t>
      </w:r>
      <w:r>
        <w:t xml:space="preserve">- identificar titulares/condominios afetados</w:t>
      </w:r>
      <w:r>
        <w:t xml:space="preserve"> </w:t>
      </w:r>
      <w:r>
        <w:t xml:space="preserve">- confirmar se incidente persiste</w:t>
      </w:r>
    </w:p>
    <w:bookmarkEnd w:id="15"/>
    <w:bookmarkStart w:id="16" w:name="avaliacao-juridica-e-de-notificacao"/>
    <w:p>
      <w:pPr>
        <w:pStyle w:val="Heading3"/>
      </w:pPr>
      <w:r>
        <w:t xml:space="preserve">5.4 Avaliacao Juridica e de Notificacao</w:t>
      </w:r>
    </w:p>
    <w:p>
      <w:pPr>
        <w:pStyle w:val="FirstParagraph"/>
      </w:pPr>
      <w:r>
        <w:t xml:space="preserve">Juridico/DPO avalia:</w:t>
      </w:r>
      <w:r>
        <w:t xml:space="preserve"> </w:t>
      </w:r>
      <w:r>
        <w:t xml:space="preserve">- risco ou dano relevante aos titulares</w:t>
      </w:r>
      <w:r>
        <w:t xml:space="preserve"> </w:t>
      </w:r>
      <w:r>
        <w:t xml:space="preserve">- obrigatoriedade de comunicacao a ANPD</w:t>
      </w:r>
      <w:r>
        <w:t xml:space="preserve"> </w:t>
      </w:r>
      <w:r>
        <w:t xml:space="preserve">- necessidade de comunicacao aos titulares</w:t>
      </w:r>
      <w:r>
        <w:t xml:space="preserve"> </w:t>
      </w:r>
      <w:r>
        <w:t xml:space="preserve">- conteudo minimo da comunicacao</w:t>
      </w:r>
    </w:p>
    <w:bookmarkEnd w:id="16"/>
    <w:bookmarkStart w:id="17" w:name="comunicacao"/>
    <w:p>
      <w:pPr>
        <w:pStyle w:val="Heading3"/>
      </w:pPr>
      <w:r>
        <w:t xml:space="preserve">5.5 Comunicacao</w:t>
      </w:r>
    </w:p>
    <w:p>
      <w:pPr>
        <w:pStyle w:val="FirstParagraph"/>
      </w:pPr>
      <w:r>
        <w:t xml:space="preserve">Se aplicavel:</w:t>
      </w:r>
      <w:r>
        <w:t xml:space="preserve"> </w:t>
      </w:r>
      <w:r>
        <w:t xml:space="preserve">- preparar comunicacao ANPD</w:t>
      </w:r>
      <w:r>
        <w:t xml:space="preserve"> </w:t>
      </w:r>
      <w:r>
        <w:t xml:space="preserve">- preparar comunicacao aos titulares afetados</w:t>
      </w:r>
      <w:r>
        <w:t xml:space="preserve"> </w:t>
      </w:r>
      <w:r>
        <w:t xml:space="preserve">- registrar data/hora, canal e conteudo enviado</w:t>
      </w:r>
    </w:p>
    <w:bookmarkEnd w:id="17"/>
    <w:bookmarkStart w:id="18" w:name="recuperacao"/>
    <w:p>
      <w:pPr>
        <w:pStyle w:val="Heading3"/>
      </w:pPr>
      <w:r>
        <w:t xml:space="preserve">5.6 Recuperacao</w:t>
      </w:r>
    </w:p>
    <w:p>
      <w:pPr>
        <w:pStyle w:val="Compact"/>
        <w:numPr>
          <w:ilvl w:val="0"/>
          <w:numId w:val="1010"/>
        </w:numPr>
      </w:pPr>
      <w:r>
        <w:t xml:space="preserve">corrigir causa raiz</w:t>
      </w:r>
    </w:p>
    <w:p>
      <w:pPr>
        <w:pStyle w:val="Compact"/>
        <w:numPr>
          <w:ilvl w:val="0"/>
          <w:numId w:val="1010"/>
        </w:numPr>
      </w:pPr>
      <w:r>
        <w:t xml:space="preserve">restaurar operacao com monitoramento reforcado</w:t>
      </w:r>
    </w:p>
    <w:p>
      <w:pPr>
        <w:pStyle w:val="Compact"/>
        <w:numPr>
          <w:ilvl w:val="0"/>
          <w:numId w:val="1010"/>
        </w:numPr>
      </w:pPr>
      <w:r>
        <w:t xml:space="preserve">validar integridade dos dados</w:t>
      </w:r>
    </w:p>
    <w:bookmarkEnd w:id="18"/>
    <w:bookmarkStart w:id="19" w:name="encerramento-e-pos-incidente"/>
    <w:p>
      <w:pPr>
        <w:pStyle w:val="Heading3"/>
      </w:pPr>
      <w:r>
        <w:t xml:space="preserve">5.7 Encerramento e Pos-incidente</w:t>
      </w:r>
    </w:p>
    <w:p>
      <w:pPr>
        <w:pStyle w:val="Compact"/>
        <w:numPr>
          <w:ilvl w:val="0"/>
          <w:numId w:val="1011"/>
        </w:numPr>
      </w:pPr>
      <w:r>
        <w:t xml:space="preserve">documentar RCA (root cause analysis)</w:t>
      </w:r>
    </w:p>
    <w:p>
      <w:pPr>
        <w:pStyle w:val="Compact"/>
        <w:numPr>
          <w:ilvl w:val="0"/>
          <w:numId w:val="1011"/>
        </w:numPr>
      </w:pPr>
      <w:r>
        <w:t xml:space="preserve">registrar acoes corretivas/preventivas com prazo e dono</w:t>
      </w:r>
    </w:p>
    <w:p>
      <w:pPr>
        <w:pStyle w:val="Compact"/>
        <w:numPr>
          <w:ilvl w:val="0"/>
          <w:numId w:val="1011"/>
        </w:numPr>
      </w:pPr>
      <w:r>
        <w:t xml:space="preserve">atualizar politicas, controles e backlog tecnico</w:t>
      </w:r>
    </w:p>
    <w:p>
      <w:pPr>
        <w:pStyle w:val="Compact"/>
        <w:numPr>
          <w:ilvl w:val="0"/>
          <w:numId w:val="1011"/>
        </w:numPr>
      </w:pPr>
      <w:r>
        <w:t xml:space="preserve">conduzir retrospectiva curta (30-60 min)</w:t>
      </w:r>
    </w:p>
    <w:bookmarkEnd w:id="19"/>
    <w:bookmarkEnd w:id="20"/>
    <w:bookmarkStart w:id="21" w:name="X78cbfe4d86a883a8e350c6fca6cb348bae574f2"/>
    <w:p>
      <w:pPr>
        <w:pStyle w:val="Heading2"/>
      </w:pPr>
      <w:r>
        <w:t xml:space="preserve">6. Critérios Minimos para Notificar ANPD/Titulares</w:t>
      </w:r>
    </w:p>
    <w:p>
      <w:pPr>
        <w:pStyle w:val="FirstParagraph"/>
      </w:pPr>
      <w:r>
        <w:t xml:space="preserve">Notificar quando houver indicio de risco/dano relevante aos titulares, considerando:</w:t>
      </w:r>
      <w:r>
        <w:t xml:space="preserve"> </w:t>
      </w:r>
      <w:r>
        <w:t xml:space="preserve">- natureza/categoria dos dados</w:t>
      </w:r>
      <w:r>
        <w:t xml:space="preserve"> </w:t>
      </w:r>
      <w:r>
        <w:t xml:space="preserve">- volume de titulares afetados</w:t>
      </w:r>
      <w:r>
        <w:t xml:space="preserve"> </w:t>
      </w:r>
      <w:r>
        <w:t xml:space="preserve">- facilidade de identificacao dos titulares</w:t>
      </w:r>
      <w:r>
        <w:t xml:space="preserve"> </w:t>
      </w:r>
      <w:r>
        <w:t xml:space="preserve">- medidas tecnicas de mitigacao aplicadas</w:t>
      </w:r>
      <w:r>
        <w:t xml:space="preserve"> </w:t>
      </w:r>
      <w:r>
        <w:t xml:space="preserve">- possibilidade de fraude, discriminacao ou prejuizo material/moral</w:t>
      </w:r>
    </w:p>
    <w:p>
      <w:pPr>
        <w:pStyle w:val="BodyText"/>
      </w:pPr>
      <w:r>
        <w:t xml:space="preserve">Observacao: decisao final deve ser validada por Juridico/DPO.</w:t>
      </w:r>
    </w:p>
    <w:bookmarkEnd w:id="21"/>
    <w:bookmarkStart w:id="22" w:name="evidencias-obrigatorias-por-incidente"/>
    <w:p>
      <w:pPr>
        <w:pStyle w:val="Heading2"/>
      </w:pPr>
      <w:r>
        <w:t xml:space="preserve">7. Evidencias Obrigatorias por Incidente</w:t>
      </w:r>
    </w:p>
    <w:p>
      <w:pPr>
        <w:pStyle w:val="Compact"/>
        <w:numPr>
          <w:ilvl w:val="0"/>
          <w:numId w:val="1012"/>
        </w:numPr>
      </w:pPr>
      <w:r>
        <w:t xml:space="preserve">timeline de eventos</w:t>
      </w:r>
    </w:p>
    <w:p>
      <w:pPr>
        <w:pStyle w:val="Compact"/>
        <w:numPr>
          <w:ilvl w:val="0"/>
          <w:numId w:val="1012"/>
        </w:numPr>
      </w:pPr>
      <w:r>
        <w:t xml:space="preserve">logs tecnicos relevantes</w:t>
      </w:r>
    </w:p>
    <w:p>
      <w:pPr>
        <w:pStyle w:val="Compact"/>
        <w:numPr>
          <w:ilvl w:val="0"/>
          <w:numId w:val="1012"/>
        </w:numPr>
      </w:pPr>
      <w:r>
        <w:t xml:space="preserve">decisoes tomadas (quem aprovou e quando)</w:t>
      </w:r>
    </w:p>
    <w:p>
      <w:pPr>
        <w:pStyle w:val="Compact"/>
        <w:numPr>
          <w:ilvl w:val="0"/>
          <w:numId w:val="1012"/>
        </w:numPr>
      </w:pPr>
      <w:r>
        <w:t xml:space="preserve">escopo final do impacto</w:t>
      </w:r>
    </w:p>
    <w:p>
      <w:pPr>
        <w:pStyle w:val="Compact"/>
        <w:numPr>
          <w:ilvl w:val="0"/>
          <w:numId w:val="1012"/>
        </w:numPr>
      </w:pPr>
      <w:r>
        <w:t xml:space="preserve">comprovantes de comunicacao (quando houver)</w:t>
      </w:r>
    </w:p>
    <w:p>
      <w:pPr>
        <w:pStyle w:val="Compact"/>
        <w:numPr>
          <w:ilvl w:val="0"/>
          <w:numId w:val="1012"/>
        </w:numPr>
      </w:pPr>
      <w:r>
        <w:t xml:space="preserve">plano de remediacao e status</w:t>
      </w:r>
    </w:p>
    <w:bookmarkEnd w:id="22"/>
    <w:bookmarkStart w:id="27" w:name="templates-operacionais"/>
    <w:p>
      <w:pPr>
        <w:pStyle w:val="Heading2"/>
      </w:pPr>
      <w:r>
        <w:t xml:space="preserve">8. Templates Operacionais</w:t>
      </w:r>
    </w:p>
    <w:bookmarkStart w:id="23" w:name="registro-inicial-do-incidente"/>
    <w:p>
      <w:pPr>
        <w:pStyle w:val="Heading3"/>
      </w:pPr>
      <w:r>
        <w:t xml:space="preserve">8.1 Registro Inicial do Incidente</w:t>
      </w:r>
    </w:p>
    <w:p>
      <w:pPr>
        <w:pStyle w:val="Compact"/>
        <w:numPr>
          <w:ilvl w:val="0"/>
          <w:numId w:val="1013"/>
        </w:numPr>
      </w:pPr>
      <w:r>
        <w:t xml:space="preserve">ID do incidente:</w:t>
      </w:r>
      <w:r>
        <w:t xml:space="preserve"> </w:t>
      </w:r>
      <w:r>
        <w:rPr>
          <w:rStyle w:val="VerbatimChar"/>
        </w:rPr>
        <w:t xml:space="preserve">[INC-YYYYMMDD-XX]</w:t>
      </w:r>
    </w:p>
    <w:p>
      <w:pPr>
        <w:pStyle w:val="Compact"/>
        <w:numPr>
          <w:ilvl w:val="0"/>
          <w:numId w:val="1013"/>
        </w:numPr>
      </w:pPr>
      <w:r>
        <w:t xml:space="preserve">Data/hora de abertura:</w:t>
      </w:r>
    </w:p>
    <w:p>
      <w:pPr>
        <w:pStyle w:val="Compact"/>
        <w:numPr>
          <w:ilvl w:val="0"/>
          <w:numId w:val="1013"/>
        </w:numPr>
      </w:pPr>
      <w:r>
        <w:t xml:space="preserve">Reportado por:</w:t>
      </w:r>
    </w:p>
    <w:p>
      <w:pPr>
        <w:pStyle w:val="Compact"/>
        <w:numPr>
          <w:ilvl w:val="0"/>
          <w:numId w:val="1013"/>
        </w:numPr>
      </w:pPr>
      <w:r>
        <w:t xml:space="preserve">Severidade inicial:</w:t>
      </w:r>
    </w:p>
    <w:p>
      <w:pPr>
        <w:pStyle w:val="Compact"/>
        <w:numPr>
          <w:ilvl w:val="0"/>
          <w:numId w:val="1013"/>
        </w:numPr>
      </w:pPr>
      <w:r>
        <w:t xml:space="preserve">Sistemas afetados:</w:t>
      </w:r>
    </w:p>
    <w:p>
      <w:pPr>
        <w:pStyle w:val="Compact"/>
        <w:numPr>
          <w:ilvl w:val="0"/>
          <w:numId w:val="1013"/>
        </w:numPr>
      </w:pPr>
      <w:r>
        <w:t xml:space="preserve">Hipotese inicial:</w:t>
      </w:r>
    </w:p>
    <w:p>
      <w:pPr>
        <w:pStyle w:val="Compact"/>
        <w:numPr>
          <w:ilvl w:val="0"/>
          <w:numId w:val="1013"/>
        </w:numPr>
      </w:pPr>
      <w:r>
        <w:t xml:space="preserve">Owner:</w:t>
      </w:r>
    </w:p>
    <w:bookmarkEnd w:id="23"/>
    <w:bookmarkStart w:id="24" w:name="atualizacao-de-status-interno"/>
    <w:p>
      <w:pPr>
        <w:pStyle w:val="Heading3"/>
      </w:pPr>
      <w:r>
        <w:t xml:space="preserve">8.2 Atualizacao de Status (interno)</w:t>
      </w:r>
    </w:p>
    <w:p>
      <w:pPr>
        <w:pStyle w:val="Compact"/>
        <w:numPr>
          <w:ilvl w:val="0"/>
          <w:numId w:val="1014"/>
        </w:numPr>
      </w:pPr>
      <w:r>
        <w:t xml:space="preserve">Hora:</w:t>
      </w:r>
    </w:p>
    <w:p>
      <w:pPr>
        <w:pStyle w:val="Compact"/>
        <w:numPr>
          <w:ilvl w:val="0"/>
          <w:numId w:val="1014"/>
        </w:numPr>
      </w:pPr>
      <w:r>
        <w:t xml:space="preserve">Situacao atual:</w:t>
      </w:r>
    </w:p>
    <w:p>
      <w:pPr>
        <w:pStyle w:val="Compact"/>
        <w:numPr>
          <w:ilvl w:val="0"/>
          <w:numId w:val="1014"/>
        </w:numPr>
      </w:pPr>
      <w:r>
        <w:t xml:space="preserve">Acoes executadas:</w:t>
      </w:r>
    </w:p>
    <w:p>
      <w:pPr>
        <w:pStyle w:val="Compact"/>
        <w:numPr>
          <w:ilvl w:val="0"/>
          <w:numId w:val="1014"/>
        </w:numPr>
      </w:pPr>
      <w:r>
        <w:t xml:space="preserve">Risco atual:</w:t>
      </w:r>
    </w:p>
    <w:p>
      <w:pPr>
        <w:pStyle w:val="Compact"/>
        <w:numPr>
          <w:ilvl w:val="0"/>
          <w:numId w:val="1014"/>
        </w:numPr>
      </w:pPr>
      <w:r>
        <w:t xml:space="preserve">Proximo checkpoint:</w:t>
      </w:r>
    </w:p>
    <w:bookmarkEnd w:id="24"/>
    <w:bookmarkStart w:id="25" w:name="X913f9bd29d5c651f003e952b1c8f6ef5aab1641"/>
    <w:p>
      <w:pPr>
        <w:pStyle w:val="Heading3"/>
      </w:pPr>
      <w:r>
        <w:t xml:space="preserve">8.3 Rascunho de Comunicacao ao Titular (modelo curto)</w:t>
      </w:r>
    </w:p>
    <w:p>
      <w:pPr>
        <w:pStyle w:val="FirstParagraph"/>
      </w:pPr>
      <w:r>
        <w:t xml:space="preserve">Assunto: Aviso de incidente de seguranca de dados</w:t>
      </w:r>
      <w:r>
        <w:br/>
      </w:r>
      <w:r>
        <w:t xml:space="preserve">Corpo:</w:t>
      </w:r>
      <w:r>
        <w:t xml:space="preserve"> </w:t>
      </w:r>
      <w:r>
        <w:t xml:space="preserve">- O que ocorreu (linguagem clara)</w:t>
      </w:r>
      <w:r>
        <w:t xml:space="preserve"> </w:t>
      </w:r>
      <w:r>
        <w:t xml:space="preserve">- Quais dados podem ter sido afetados</w:t>
      </w:r>
      <w:r>
        <w:t xml:space="preserve"> </w:t>
      </w:r>
      <w:r>
        <w:t xml:space="preserve">- Medidas ja adotadas</w:t>
      </w:r>
      <w:r>
        <w:t xml:space="preserve"> </w:t>
      </w:r>
      <w:r>
        <w:t xml:space="preserve">- Recomendacoes ao titular</w:t>
      </w:r>
      <w:r>
        <w:t xml:space="preserve"> </w:t>
      </w:r>
      <w:r>
        <w:t xml:space="preserve">- Canal de suporte/encarregado</w:t>
      </w:r>
    </w:p>
    <w:bookmarkEnd w:id="25"/>
    <w:bookmarkStart w:id="26" w:name="Xf20f3f7bd581ab87587d4d6e71a9b1fb2820926"/>
    <w:p>
      <w:pPr>
        <w:pStyle w:val="Heading3"/>
      </w:pPr>
      <w:r>
        <w:t xml:space="preserve">8.4 Rascunho de Comunicacao ANPD (modelo curto)</w:t>
      </w:r>
    </w:p>
    <w:p>
      <w:pPr>
        <w:pStyle w:val="Compact"/>
        <w:numPr>
          <w:ilvl w:val="0"/>
          <w:numId w:val="1015"/>
        </w:numPr>
      </w:pPr>
      <w:r>
        <w:t xml:space="preserve">identificacao do controlador</w:t>
      </w:r>
    </w:p>
    <w:p>
      <w:pPr>
        <w:pStyle w:val="Compact"/>
        <w:numPr>
          <w:ilvl w:val="0"/>
          <w:numId w:val="1015"/>
        </w:numPr>
      </w:pPr>
      <w:r>
        <w:t xml:space="preserve">descricao do incidente</w:t>
      </w:r>
    </w:p>
    <w:p>
      <w:pPr>
        <w:pStyle w:val="Compact"/>
        <w:numPr>
          <w:ilvl w:val="0"/>
          <w:numId w:val="1015"/>
        </w:numPr>
      </w:pPr>
      <w:r>
        <w:t xml:space="preserve">dados/titulares potencialmente afetados</w:t>
      </w:r>
    </w:p>
    <w:p>
      <w:pPr>
        <w:pStyle w:val="Compact"/>
        <w:numPr>
          <w:ilvl w:val="0"/>
          <w:numId w:val="1015"/>
        </w:numPr>
      </w:pPr>
      <w:r>
        <w:t xml:space="preserve">medidas tecnicas e administrativas adotadas</w:t>
      </w:r>
    </w:p>
    <w:p>
      <w:pPr>
        <w:pStyle w:val="Compact"/>
        <w:numPr>
          <w:ilvl w:val="0"/>
          <w:numId w:val="1015"/>
        </w:numPr>
      </w:pPr>
      <w:r>
        <w:t xml:space="preserve">riscos relacionados ao incidente</w:t>
      </w:r>
    </w:p>
    <w:p>
      <w:pPr>
        <w:pStyle w:val="Compact"/>
        <w:numPr>
          <w:ilvl w:val="0"/>
          <w:numId w:val="1015"/>
        </w:numPr>
      </w:pPr>
      <w:r>
        <w:t xml:space="preserve">plano de mitigacao/remediacao</w:t>
      </w:r>
    </w:p>
    <w:bookmarkEnd w:id="26"/>
    <w:bookmarkEnd w:id="27"/>
    <w:bookmarkStart w:id="28" w:name="sla-interno-sugerido-startup"/>
    <w:p>
      <w:pPr>
        <w:pStyle w:val="Heading2"/>
      </w:pPr>
      <w:r>
        <w:t xml:space="preserve">9. SLA Interno Sugerido (startup)</w:t>
      </w:r>
    </w:p>
    <w:p>
      <w:pPr>
        <w:pStyle w:val="Compact"/>
        <w:numPr>
          <w:ilvl w:val="0"/>
          <w:numId w:val="1016"/>
        </w:numPr>
      </w:pPr>
      <w:r>
        <w:t xml:space="preserve">Triage inicial: ate 1h</w:t>
      </w:r>
    </w:p>
    <w:p>
      <w:pPr>
        <w:pStyle w:val="Compact"/>
        <w:numPr>
          <w:ilvl w:val="0"/>
          <w:numId w:val="1016"/>
        </w:numPr>
      </w:pPr>
      <w:r>
        <w:t xml:space="preserve">Contencao inicial: ate 4h (SEV-1/2)</w:t>
      </w:r>
    </w:p>
    <w:p>
      <w:pPr>
        <w:pStyle w:val="Compact"/>
        <w:numPr>
          <w:ilvl w:val="0"/>
          <w:numId w:val="1016"/>
        </w:numPr>
      </w:pPr>
      <w:r>
        <w:t xml:space="preserve">Avaliacao juridica preliminar: ate 24h</w:t>
      </w:r>
    </w:p>
    <w:p>
      <w:pPr>
        <w:pStyle w:val="Compact"/>
        <w:numPr>
          <w:ilvl w:val="0"/>
          <w:numId w:val="1016"/>
        </w:numPr>
      </w:pPr>
      <w:r>
        <w:t xml:space="preserve">Relatorio pos-incidente: ate 5 dias uteis</w:t>
      </w:r>
    </w:p>
    <w:bookmarkEnd w:id="28"/>
    <w:bookmarkStart w:id="29" w:name="manutencao-do-playbook"/>
    <w:p>
      <w:pPr>
        <w:pStyle w:val="Heading2"/>
      </w:pPr>
      <w:r>
        <w:t xml:space="preserve">10. Manutencao do Playbook</w:t>
      </w:r>
    </w:p>
    <w:p>
      <w:pPr>
        <w:pStyle w:val="Compact"/>
        <w:numPr>
          <w:ilvl w:val="0"/>
          <w:numId w:val="1017"/>
        </w:numPr>
      </w:pPr>
      <w:r>
        <w:t xml:space="preserve">Revisao trimestral ou apos incidente relevante</w:t>
      </w:r>
    </w:p>
    <w:p>
      <w:pPr>
        <w:pStyle w:val="Compact"/>
        <w:numPr>
          <w:ilvl w:val="0"/>
          <w:numId w:val="1017"/>
        </w:numPr>
      </w:pPr>
      <w:r>
        <w:t xml:space="preserve">Simulado rapido semestral (tabletop)</w:t>
      </w:r>
    </w:p>
    <w:p>
      <w:pPr>
        <w:pStyle w:val="Compact"/>
        <w:numPr>
          <w:ilvl w:val="0"/>
          <w:numId w:val="1017"/>
        </w:numPr>
      </w:pPr>
      <w:r>
        <w:t xml:space="preserve">Dono do documento:</w:t>
      </w:r>
      <w:r>
        <w:t xml:space="preserve"> </w:t>
      </w:r>
      <w:r>
        <w:rPr>
          <w:rStyle w:val="VerbatimChar"/>
        </w:rPr>
        <w:t xml:space="preserve">[preencher]</w:t>
      </w:r>
    </w:p>
    <w:bookmarkEnd w:id="29"/>
    <w:bookmarkStart w:id="30" w:name="registro-de-versoes"/>
    <w:p>
      <w:pPr>
        <w:pStyle w:val="Heading2"/>
      </w:pPr>
      <w:r>
        <w:t xml:space="preserve">11. Registro de Versoes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Versao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Alteracao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Aprovacao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13/03/2026</w:t>
            </w:r>
          </w:p>
        </w:tc>
        <w:tc>
          <w:tcPr/>
          <w:p>
            <w:pPr>
              <w:pStyle w:val="Compact"/>
            </w:pPr>
            <w:r>
              <w:t xml:space="preserve">Emissao inicial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Nota: modelo interno inicial, nao substitui parecer juridico formal.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2026-03-13T16:39:52Z</dcterms:created>
  <dcterms:modified xsi:type="dcterms:W3CDTF">2026-03-13T16:39:52Z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