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76ea1aaa6c6186afecee398dc3c55cd5a9db1c"/>
    <w:p>
      <w:pPr>
        <w:pStyle w:val="Heading1"/>
      </w:pPr>
      <w:r>
        <w:t xml:space="preserve">POLITICA DE TRILHA DE AUDITORIA ADMINISTRATIVA (MODELO)</w:t>
      </w:r>
    </w:p>
    <w:p>
      <w:pPr>
        <w:pStyle w:val="FirstParagraph"/>
      </w:pPr>
      <w:r>
        <w:t xml:space="preserve">Status: modelo para revisao juridica</w:t>
      </w:r>
      <w:r>
        <w:br/>
      </w:r>
      <w:r>
        <w:t xml:space="preserve">Versao: 1.0</w:t>
      </w:r>
      <w:r>
        <w:br/>
      </w:r>
      <w:r>
        <w:t xml:space="preserve">Data: 13/03/2026</w:t>
      </w:r>
      <w:r>
        <w:br/>
      </w:r>
      <w:r>
        <w:t xml:space="preserve">Classificacao: uso interno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Estabelecer regras para registro e uso de trilhas de auditoria em acoes administrativas sensiveis, com foco em rastreabilidade, governanca e evidencia para compliance.</w:t>
      </w:r>
    </w:p>
    <w:bookmarkEnd w:id="9"/>
    <w:bookmarkStart w:id="10" w:name="principios"/>
    <w:p>
      <w:pPr>
        <w:pStyle w:val="Heading2"/>
      </w:pPr>
      <w:r>
        <w:t xml:space="preserve">2. Principios</w:t>
      </w:r>
    </w:p>
    <w:p>
      <w:pPr>
        <w:pStyle w:val="Compact"/>
        <w:numPr>
          <w:ilvl w:val="0"/>
          <w:numId w:val="1001"/>
        </w:numPr>
      </w:pPr>
      <w:r>
        <w:t xml:space="preserve">Completude: registrar quem fez, quando, o que foi feito e contexto.</w:t>
      </w:r>
    </w:p>
    <w:p>
      <w:pPr>
        <w:pStyle w:val="Compact"/>
        <w:numPr>
          <w:ilvl w:val="0"/>
          <w:numId w:val="1001"/>
        </w:numPr>
      </w:pPr>
      <w:r>
        <w:t xml:space="preserve">Integridade: logs nao devem ser alterados sem trilha equivalente.</w:t>
      </w:r>
    </w:p>
    <w:p>
      <w:pPr>
        <w:pStyle w:val="Compact"/>
        <w:numPr>
          <w:ilvl w:val="0"/>
          <w:numId w:val="1001"/>
        </w:numPr>
      </w:pPr>
      <w:r>
        <w:t xml:space="preserve">Necessidade: registrar campos relevantes, evitando excesso de dados.</w:t>
      </w:r>
    </w:p>
    <w:p>
      <w:pPr>
        <w:pStyle w:val="Compact"/>
        <w:numPr>
          <w:ilvl w:val="0"/>
          <w:numId w:val="1001"/>
        </w:numPr>
      </w:pPr>
      <w:r>
        <w:t xml:space="preserve">Confidencialidade: acesso restrito a perfis autorizados.</w:t>
      </w:r>
    </w:p>
    <w:bookmarkEnd w:id="10"/>
    <w:bookmarkStart w:id="11" w:name="escopo-de-acoes-sensiveis"/>
    <w:p>
      <w:pPr>
        <w:pStyle w:val="Heading2"/>
      </w:pPr>
      <w:r>
        <w:t xml:space="preserve">3. Escopo de Acoes Sensiveis</w:t>
      </w:r>
    </w:p>
    <w:p>
      <w:pPr>
        <w:pStyle w:val="FirstParagraph"/>
      </w:pPr>
      <w:r>
        <w:t xml:space="preserve">Inclui, no minimo:</w:t>
      </w:r>
      <w:r>
        <w:t xml:space="preserve"> </w:t>
      </w:r>
      <w:r>
        <w:t xml:space="preserve">- alteracao de politicas de retencao</w:t>
      </w:r>
      <w:r>
        <w:t xml:space="preserve"> </w:t>
      </w:r>
      <w:r>
        <w:t xml:space="preserve">- disparo de rotinas de purge/retencao</w:t>
      </w:r>
      <w:r>
        <w:t xml:space="preserve"> </w:t>
      </w:r>
      <w:r>
        <w:t xml:space="preserve">- abertura e atualizacao de solicitacoes DSAR</w:t>
      </w:r>
      <w:r>
        <w:t xml:space="preserve"> </w:t>
      </w:r>
      <w:r>
        <w:t xml:space="preserve">- geracao de export DSAR</w:t>
      </w:r>
      <w:r>
        <w:t xml:space="preserve"> </w:t>
      </w:r>
      <w:r>
        <w:t xml:space="preserve">- execucao de eliminacao/anonimização por DSAR</w:t>
      </w:r>
      <w:r>
        <w:t xml:space="preserve"> </w:t>
      </w:r>
      <w:r>
        <w:t xml:space="preserve">- revogacao de convites administrativos</w:t>
      </w:r>
    </w:p>
    <w:bookmarkEnd w:id="11"/>
    <w:bookmarkStart w:id="12" w:name="campos-minimos-por-evento"/>
    <w:p>
      <w:pPr>
        <w:pStyle w:val="Heading2"/>
      </w:pPr>
      <w:r>
        <w:t xml:space="preserve">4. Campos Minimos por Evento</w:t>
      </w:r>
    </w:p>
    <w:p>
      <w:pPr>
        <w:pStyle w:val="Compact"/>
        <w:numPr>
          <w:ilvl w:val="0"/>
          <w:numId w:val="1002"/>
        </w:numPr>
      </w:pPr>
      <w:r>
        <w:t xml:space="preserve">acao (</w:t>
      </w:r>
      <w:r>
        <w:rPr>
          <w:rStyle w:val="VerbatimChar"/>
        </w:rPr>
        <w:t xml:space="preserve">action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ator (</w:t>
      </w:r>
      <w:r>
        <w:rPr>
          <w:rStyle w:val="VerbatimChar"/>
        </w:rPr>
        <w:t xml:space="preserve">actorType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actorKey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data/hora (</w:t>
      </w:r>
      <w:r>
        <w:rPr>
          <w:rStyle w:val="VerbatimChar"/>
        </w:rPr>
        <w:t xml:space="preserve">createdAt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entidade afetada (</w:t>
      </w:r>
      <w:r>
        <w:rPr>
          <w:rStyle w:val="VerbatimChar"/>
        </w:rPr>
        <w:t xml:space="preserve">entityType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condominio (quando aplicavel)</w:t>
      </w:r>
    </w:p>
    <w:p>
      <w:pPr>
        <w:pStyle w:val="Compact"/>
        <w:numPr>
          <w:ilvl w:val="0"/>
          <w:numId w:val="1002"/>
        </w:numPr>
      </w:pPr>
      <w:r>
        <w:t xml:space="preserve">estado</w:t>
      </w:r>
      <w:r>
        <w:t xml:space="preserve"> </w:t>
      </w:r>
      <w:r>
        <w:rPr>
          <w:rStyle w:val="VerbatimChar"/>
        </w:rPr>
        <w:t xml:space="preserve">antes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depois</w:t>
      </w:r>
      <w:r>
        <w:t xml:space="preserve"> </w:t>
      </w:r>
      <w:r>
        <w:t xml:space="preserve">(diff relevante)</w:t>
      </w:r>
    </w:p>
    <w:p>
      <w:pPr>
        <w:pStyle w:val="Compact"/>
        <w:numPr>
          <w:ilvl w:val="0"/>
          <w:numId w:val="1002"/>
        </w:numPr>
      </w:pPr>
      <w:r>
        <w:t xml:space="preserve">metadados de contexto</w:t>
      </w:r>
    </w:p>
    <w:bookmarkEnd w:id="12"/>
    <w:bookmarkStart w:id="13" w:name="consulta-e-relatorios"/>
    <w:p>
      <w:pPr>
        <w:pStyle w:val="Heading2"/>
      </w:pPr>
      <w:r>
        <w:t xml:space="preserve">5. Consulta e Relatorios</w:t>
      </w:r>
    </w:p>
    <w:p>
      <w:pPr>
        <w:pStyle w:val="Compact"/>
        <w:numPr>
          <w:ilvl w:val="0"/>
          <w:numId w:val="1003"/>
        </w:numPr>
      </w:pPr>
      <w:r>
        <w:t xml:space="preserve">Eventos devem ser consultaveis em tela administrativa com filtros.</w:t>
      </w:r>
    </w:p>
    <w:p>
      <w:pPr>
        <w:pStyle w:val="Compact"/>
        <w:numPr>
          <w:ilvl w:val="0"/>
          <w:numId w:val="1003"/>
        </w:numPr>
      </w:pPr>
      <w:r>
        <w:t xml:space="preserve">Deve existir exportacao para auditoria externa (ex.: CSV).</w:t>
      </w:r>
    </w:p>
    <w:p>
      <w:pPr>
        <w:pStyle w:val="Compact"/>
        <w:numPr>
          <w:ilvl w:val="0"/>
          <w:numId w:val="1003"/>
        </w:numPr>
      </w:pPr>
      <w:r>
        <w:t xml:space="preserve">Eventos criticos devem poder ser anexados a dossies de incidente/compliance.</w:t>
      </w:r>
    </w:p>
    <w:bookmarkEnd w:id="13"/>
    <w:bookmarkStart w:id="14" w:name="retencao"/>
    <w:p>
      <w:pPr>
        <w:pStyle w:val="Heading2"/>
      </w:pPr>
      <w:r>
        <w:t xml:space="preserve">6. Retencao</w:t>
      </w:r>
    </w:p>
    <w:p>
      <w:pPr>
        <w:pStyle w:val="Compact"/>
        <w:numPr>
          <w:ilvl w:val="0"/>
          <w:numId w:val="1004"/>
        </w:numPr>
      </w:pPr>
      <w:r>
        <w:t xml:space="preserve">Aplicar prazos conforme Politica de Retencao e Descarte.</w:t>
      </w:r>
    </w:p>
    <w:p>
      <w:pPr>
        <w:pStyle w:val="Compact"/>
        <w:numPr>
          <w:ilvl w:val="0"/>
          <w:numId w:val="1004"/>
        </w:numPr>
      </w:pPr>
      <w:r>
        <w:t xml:space="preserve">Qualquer alteracao de prazo exige aprovacao de Juridico + DPO + Tech/SecOps.</w:t>
      </w:r>
    </w:p>
    <w:bookmarkEnd w:id="14"/>
    <w:bookmarkStart w:id="15" w:name="governanca"/>
    <w:p>
      <w:pPr>
        <w:pStyle w:val="Heading2"/>
      </w:pPr>
      <w:r>
        <w:t xml:space="preserve">7. Governanca</w:t>
      </w:r>
    </w:p>
    <w:p>
      <w:pPr>
        <w:pStyle w:val="Compact"/>
        <w:numPr>
          <w:ilvl w:val="0"/>
          <w:numId w:val="1005"/>
        </w:numPr>
      </w:pPr>
      <w:r>
        <w:t xml:space="preserve">Dono do processo: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05"/>
        </w:numPr>
      </w:pPr>
      <w:r>
        <w:t xml:space="preserve">Aprovacao juridica: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05"/>
        </w:numPr>
      </w:pPr>
      <w:r>
        <w:t xml:space="preserve">Revisao: trimestral ou por mudanca relevante de risco/sistema</w:t>
      </w:r>
    </w:p>
    <w:bookmarkEnd w:id="15"/>
    <w:bookmarkStart w:id="16" w:name="registro-de-versoes"/>
    <w:p>
      <w:pPr>
        <w:pStyle w:val="Heading2"/>
      </w:pPr>
      <w:r>
        <w:t xml:space="preserve">8. Registro de Versoes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Versao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Alteracao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Aprovacao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13/03/2026</w:t>
            </w:r>
          </w:p>
        </w:tc>
        <w:tc>
          <w:tcPr/>
          <w:p>
            <w:pPr>
              <w:pStyle w:val="Compact"/>
            </w:pPr>
            <w:r>
              <w:t xml:space="preserve">Emissao 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Nota: este documento e modelo interno e nao substitui parecer juridico formal.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2026-03-13T16:34:37Z</dcterms:created>
  <dcterms:modified xsi:type="dcterms:W3CDTF">2026-03-13T16:34:37Z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