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9383fec2d55426f0a5df551243b0d44c0e231ab"/>
    <w:p>
      <w:pPr>
        <w:pStyle w:val="Heading1"/>
      </w:pPr>
      <w:r>
        <w:t xml:space="preserve">PROCEDIMENTO INTERNO - ATENDIMENTO DE DIREITOS DO TITULAR (DSAR)</w:t>
      </w:r>
    </w:p>
    <w:p>
      <w:pPr>
        <w:pStyle w:val="FirstParagraph"/>
      </w:pPr>
      <w:r>
        <w:t xml:space="preserve">Status: modelo para revisao juridica</w:t>
      </w:r>
      <w:r>
        <w:br/>
      </w:r>
      <w:r>
        <w:t xml:space="preserve">Versao: 1.0</w:t>
      </w:r>
      <w:r>
        <w:br/>
      </w:r>
      <w:r>
        <w:t xml:space="preserve">Data: 13/03/2026</w:t>
      </w:r>
      <w:r>
        <w:br/>
      </w:r>
      <w:r>
        <w:t xml:space="preserve">Classificacao: uso interno</w: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Definir o fluxo operacional para recebimento, analise, atendimento e registro de solicitacoes de titulares de dados pessoais, em conformidade com a LGPD.</w:t>
      </w:r>
    </w:p>
    <w:bookmarkEnd w:id="9"/>
    <w:bookmarkStart w:id="10" w:name="escopo"/>
    <w:p>
      <w:pPr>
        <w:pStyle w:val="Heading2"/>
      </w:pPr>
      <w:r>
        <w:t xml:space="preserve">2. Escopo</w:t>
      </w:r>
    </w:p>
    <w:p>
      <w:pPr>
        <w:pStyle w:val="FirstParagraph"/>
      </w:pPr>
      <w:r>
        <w:t xml:space="preserve">Aplica-se a solicitacoes relacionadas a titulares cadastrados na plataforma, incluindo no minimo:</w:t>
      </w:r>
      <w:r>
        <w:t xml:space="preserve"> </w:t>
      </w:r>
      <w:r>
        <w:t xml:space="preserve">- acesso/exportacao de dados</w:t>
      </w:r>
      <w:r>
        <w:t xml:space="preserve"> </w:t>
      </w:r>
      <w:r>
        <w:t xml:space="preserve">- eliminacao/anonimização de dados</w:t>
      </w:r>
    </w:p>
    <w:bookmarkEnd w:id="10"/>
    <w:bookmarkStart w:id="11" w:name="canais-de-entrada"/>
    <w:p>
      <w:pPr>
        <w:pStyle w:val="Heading2"/>
      </w:pPr>
      <w:r>
        <w:t xml:space="preserve">3. Canais de Entrada</w:t>
      </w:r>
    </w:p>
    <w:p>
      <w:pPr>
        <w:pStyle w:val="Compact"/>
        <w:numPr>
          <w:ilvl w:val="0"/>
          <w:numId w:val="1001"/>
        </w:numPr>
      </w:pPr>
      <w:r>
        <w:t xml:space="preserve">Email LGPD:</w:t>
      </w:r>
      <w:r>
        <w:t xml:space="preserve"> </w:t>
      </w:r>
      <w:r>
        <w:rPr>
          <w:rStyle w:val="VerbatimChar"/>
        </w:rPr>
        <w:t xml:space="preserve">[preencher]</w:t>
      </w:r>
    </w:p>
    <w:p>
      <w:pPr>
        <w:pStyle w:val="Compact"/>
        <w:numPr>
          <w:ilvl w:val="0"/>
          <w:numId w:val="1001"/>
        </w:numPr>
      </w:pPr>
      <w:r>
        <w:t xml:space="preserve">Formulario web:</w:t>
      </w:r>
      <w:r>
        <w:t xml:space="preserve"> </w:t>
      </w:r>
      <w:r>
        <w:rPr>
          <w:rStyle w:val="VerbatimChar"/>
        </w:rPr>
        <w:t xml:space="preserve">[preencher]</w:t>
      </w:r>
    </w:p>
    <w:p>
      <w:pPr>
        <w:pStyle w:val="Compact"/>
        <w:numPr>
          <w:ilvl w:val="0"/>
          <w:numId w:val="1001"/>
        </w:numPr>
      </w:pPr>
      <w:r>
        <w:t xml:space="preserve">Atendimento interno com abertura manual de protocolo</w:t>
      </w:r>
    </w:p>
    <w:p>
      <w:pPr>
        <w:pStyle w:val="FirstParagraph"/>
      </w:pPr>
      <w:r>
        <w:t xml:space="preserve">Cada solicitacao deve receber protocolo unico e data/hora de abertura.</w:t>
      </w:r>
    </w:p>
    <w:bookmarkEnd w:id="11"/>
    <w:bookmarkStart w:id="12" w:name="papeis-e-responsabilidades"/>
    <w:p>
      <w:pPr>
        <w:pStyle w:val="Heading2"/>
      </w:pPr>
      <w:r>
        <w:t xml:space="preserve">4. Papeis e Responsabilidades</w:t>
      </w:r>
    </w:p>
    <w:p>
      <w:pPr>
        <w:pStyle w:val="Compact"/>
        <w:numPr>
          <w:ilvl w:val="0"/>
          <w:numId w:val="1002"/>
        </w:numPr>
      </w:pPr>
      <w:r>
        <w:t xml:space="preserve">DPO/Privacidade: supervisionar conformidade e prazos</w:t>
      </w:r>
    </w:p>
    <w:p>
      <w:pPr>
        <w:pStyle w:val="Compact"/>
        <w:numPr>
          <w:ilvl w:val="0"/>
          <w:numId w:val="1002"/>
        </w:numPr>
      </w:pPr>
      <w:r>
        <w:t xml:space="preserve">Juridico: validar base legal e excecoes</w:t>
      </w:r>
    </w:p>
    <w:p>
      <w:pPr>
        <w:pStyle w:val="Compact"/>
        <w:numPr>
          <w:ilvl w:val="0"/>
          <w:numId w:val="1002"/>
        </w:numPr>
      </w:pPr>
      <w:r>
        <w:t xml:space="preserve">Tech/SecOps: executar exportacao, anonimização/eliminacao e evidencias tecnicas</w:t>
      </w:r>
    </w:p>
    <w:p>
      <w:pPr>
        <w:pStyle w:val="Compact"/>
        <w:numPr>
          <w:ilvl w:val="0"/>
          <w:numId w:val="1002"/>
        </w:numPr>
      </w:pPr>
      <w:r>
        <w:t xml:space="preserve">Suporte: comunicacao com titular e acompanhamento de status</w:t>
      </w:r>
    </w:p>
    <w:bookmarkEnd w:id="12"/>
    <w:bookmarkStart w:id="13" w:name="fluxo-operacional"/>
    <w:p>
      <w:pPr>
        <w:pStyle w:val="Heading2"/>
      </w:pPr>
      <w:r>
        <w:t xml:space="preserve">5. Fluxo Operacional</w:t>
      </w:r>
    </w:p>
    <w:p>
      <w:pPr>
        <w:pStyle w:val="Compact"/>
        <w:numPr>
          <w:ilvl w:val="0"/>
          <w:numId w:val="1003"/>
        </w:numPr>
      </w:pPr>
      <w:r>
        <w:t xml:space="preserve">Recebimento:</w:t>
      </w:r>
    </w:p>
    <w:p>
      <w:pPr>
        <w:pStyle w:val="Compact"/>
        <w:numPr>
          <w:ilvl w:val="0"/>
          <w:numId w:val="1004"/>
        </w:numPr>
      </w:pPr>
      <w:r>
        <w:t xml:space="preserve">registrar protocolo, titular, tipo de pedido, canal e prazo de resposta.</w:t>
      </w:r>
    </w:p>
    <w:p>
      <w:pPr>
        <w:pStyle w:val="Compact"/>
        <w:numPr>
          <w:ilvl w:val="0"/>
          <w:numId w:val="1005"/>
        </w:numPr>
      </w:pPr>
      <w:r>
        <w:t xml:space="preserve">Validacao de identidade:</w:t>
      </w:r>
    </w:p>
    <w:p>
      <w:pPr>
        <w:pStyle w:val="Compact"/>
        <w:numPr>
          <w:ilvl w:val="0"/>
          <w:numId w:val="1006"/>
        </w:numPr>
      </w:pPr>
      <w:r>
        <w:t xml:space="preserve">confirmar legitimidade do solicitante antes de qualquer entrega/eliminação.</w:t>
      </w:r>
    </w:p>
    <w:p>
      <w:pPr>
        <w:pStyle w:val="Compact"/>
        <w:numPr>
          <w:ilvl w:val="0"/>
          <w:numId w:val="1007"/>
        </w:numPr>
      </w:pPr>
      <w:r>
        <w:t xml:space="preserve">Classificacao:</w:t>
      </w:r>
    </w:p>
    <w:p>
      <w:pPr>
        <w:pStyle w:val="Compact"/>
        <w:numPr>
          <w:ilvl w:val="0"/>
          <w:numId w:val="1008"/>
        </w:numPr>
      </w:pPr>
      <w:r>
        <w:t xml:space="preserve">tipo da solicitacao (</w:t>
      </w:r>
      <w:r>
        <w:rPr>
          <w:rStyle w:val="VerbatimChar"/>
        </w:rPr>
        <w:t xml:space="preserve">access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deletion</w:t>
      </w:r>
      <w:r>
        <w:t xml:space="preserve">), escopo e dados envolvidos.</w:t>
      </w:r>
    </w:p>
    <w:p>
      <w:pPr>
        <w:pStyle w:val="Compact"/>
        <w:numPr>
          <w:ilvl w:val="0"/>
          <w:numId w:val="1009"/>
        </w:numPr>
      </w:pPr>
      <w:r>
        <w:t xml:space="preserve">Analise juridica:</w:t>
      </w:r>
    </w:p>
    <w:p>
      <w:pPr>
        <w:pStyle w:val="Compact"/>
        <w:numPr>
          <w:ilvl w:val="0"/>
          <w:numId w:val="1010"/>
        </w:numPr>
      </w:pPr>
      <w:r>
        <w:t xml:space="preserve">identificar obrigacoes legais/regulatorias e excecoes de retencao.</w:t>
      </w:r>
    </w:p>
    <w:p>
      <w:pPr>
        <w:pStyle w:val="Compact"/>
        <w:numPr>
          <w:ilvl w:val="0"/>
          <w:numId w:val="1011"/>
        </w:numPr>
      </w:pPr>
      <w:r>
        <w:t xml:space="preserve">Execucao tecnica: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access</w:t>
      </w:r>
      <w:r>
        <w:t xml:space="preserve">: gerar export consolidado dos dados do titular.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deletion</w:t>
      </w:r>
      <w:r>
        <w:t xml:space="preserve">: executar anonimização/eliminacao conforme politica de retencao e base legal.</w:t>
      </w:r>
    </w:p>
    <w:p>
      <w:pPr>
        <w:pStyle w:val="Compact"/>
        <w:numPr>
          <w:ilvl w:val="0"/>
          <w:numId w:val="1013"/>
        </w:numPr>
      </w:pPr>
      <w:r>
        <w:t xml:space="preserve">Revisao e aprovacao:</w:t>
      </w:r>
    </w:p>
    <w:p>
      <w:pPr>
        <w:pStyle w:val="Compact"/>
        <w:numPr>
          <w:ilvl w:val="0"/>
          <w:numId w:val="1014"/>
        </w:numPr>
      </w:pPr>
      <w:r>
        <w:t xml:space="preserve">revisar resultado tecnico e registrar decisao final.</w:t>
      </w:r>
    </w:p>
    <w:p>
      <w:pPr>
        <w:pStyle w:val="Compact"/>
        <w:numPr>
          <w:ilvl w:val="0"/>
          <w:numId w:val="1015"/>
        </w:numPr>
      </w:pPr>
      <w:r>
        <w:t xml:space="preserve">Resposta ao titular:</w:t>
      </w:r>
    </w:p>
    <w:p>
      <w:pPr>
        <w:pStyle w:val="Compact"/>
        <w:numPr>
          <w:ilvl w:val="0"/>
          <w:numId w:val="1016"/>
        </w:numPr>
      </w:pPr>
      <w:r>
        <w:t xml:space="preserve">enviar retorno formal com resultado, fundamentos e orientacoes.</w:t>
      </w:r>
    </w:p>
    <w:p>
      <w:pPr>
        <w:pStyle w:val="Compact"/>
        <w:numPr>
          <w:ilvl w:val="0"/>
          <w:numId w:val="1016"/>
        </w:numPr>
      </w:pPr>
      <w:r>
        <w:t xml:space="preserve">emitir relatorio de encerramento do protocolo (formato DOC e/ou PDF imprimivel) para arquivo interno.</w:t>
      </w:r>
    </w:p>
    <w:p>
      <w:pPr>
        <w:pStyle w:val="Compact"/>
        <w:numPr>
          <w:ilvl w:val="0"/>
          <w:numId w:val="1017"/>
        </w:numPr>
      </w:pPr>
      <w:r>
        <w:t xml:space="preserve">Encerramento:</w:t>
      </w:r>
    </w:p>
    <w:p>
      <w:pPr>
        <w:pStyle w:val="Compact"/>
        <w:numPr>
          <w:ilvl w:val="0"/>
          <w:numId w:val="1018"/>
        </w:numPr>
      </w:pPr>
      <w:r>
        <w:t xml:space="preserve">concluir protocolo e manter trilha de auditoria.</w:t>
      </w:r>
    </w:p>
    <w:bookmarkEnd w:id="13"/>
    <w:bookmarkStart w:id="14" w:name="controles-minimos-de-auditoria"/>
    <w:p>
      <w:pPr>
        <w:pStyle w:val="Heading2"/>
      </w:pPr>
      <w:r>
        <w:t xml:space="preserve">6. Controles Minimos de Auditoria</w:t>
      </w:r>
    </w:p>
    <w:p>
      <w:pPr>
        <w:pStyle w:val="FirstParagraph"/>
      </w:pPr>
      <w:r>
        <w:t xml:space="preserve">Para cada protocolo DSAR, manter:</w:t>
      </w:r>
      <w:r>
        <w:t xml:space="preserve"> </w:t>
      </w:r>
      <w:r>
        <w:t xml:space="preserve">- identificador/protocolo</w:t>
      </w:r>
      <w:r>
        <w:t xml:space="preserve"> </w:t>
      </w:r>
      <w:r>
        <w:t xml:space="preserve">- tipo, status e datas relevantes</w:t>
      </w:r>
      <w:r>
        <w:t xml:space="preserve"> </w:t>
      </w:r>
      <w:r>
        <w:t xml:space="preserve">- responsavel e aprovadores</w:t>
      </w:r>
      <w:r>
        <w:t xml:space="preserve"> </w:t>
      </w:r>
      <w:r>
        <w:t xml:space="preserve">- eventos de trilha (acoes executadas, notas e justificativas)</w:t>
      </w:r>
      <w:r>
        <w:t xml:space="preserve"> </w:t>
      </w:r>
      <w:r>
        <w:t xml:space="preserve">- evidencias de exportacao/eliminacao</w:t>
      </w:r>
      <w:r>
        <w:t xml:space="preserve"> </w:t>
      </w:r>
      <w:r>
        <w:t xml:space="preserve">- relatorio final de encerramento anexado ao caso</w:t>
      </w:r>
    </w:p>
    <w:bookmarkEnd w:id="14"/>
    <w:bookmarkStart w:id="15" w:name="regras-especificas-para-eliminacao"/>
    <w:p>
      <w:pPr>
        <w:pStyle w:val="Heading2"/>
      </w:pPr>
      <w:r>
        <w:t xml:space="preserve">7. Regras Especificas para Eliminacao</w:t>
      </w:r>
    </w:p>
    <w:p>
      <w:pPr>
        <w:pStyle w:val="Compact"/>
        <w:numPr>
          <w:ilvl w:val="0"/>
          <w:numId w:val="1019"/>
        </w:numPr>
      </w:pPr>
      <w:r>
        <w:t xml:space="preserve">A eliminacao deve respeitar obrigacoes legais de guarda e defesa de direitos.</w:t>
      </w:r>
    </w:p>
    <w:p>
      <w:pPr>
        <w:pStyle w:val="Compact"/>
        <w:numPr>
          <w:ilvl w:val="0"/>
          <w:numId w:val="1019"/>
        </w:numPr>
      </w:pPr>
      <w:r>
        <w:t xml:space="preserve">Quando necessario preservar historico sem identificacao, aplicar anonimização.</w:t>
      </w:r>
    </w:p>
    <w:p>
      <w:pPr>
        <w:pStyle w:val="Compact"/>
        <w:numPr>
          <w:ilvl w:val="0"/>
          <w:numId w:val="1019"/>
        </w:numPr>
      </w:pPr>
      <w:r>
        <w:t xml:space="preserve">Em contexto condominial, historico de votacao pode ser mantido sem PII para preservar integridade deliberativa.</w:t>
      </w:r>
    </w:p>
    <w:bookmarkEnd w:id="15"/>
    <w:bookmarkStart w:id="16" w:name="sla-e-prazos"/>
    <w:p>
      <w:pPr>
        <w:pStyle w:val="Heading2"/>
      </w:pPr>
      <w:r>
        <w:t xml:space="preserve">8. SLA e Prazos</w:t>
      </w:r>
    </w:p>
    <w:p>
      <w:pPr>
        <w:pStyle w:val="Compact"/>
        <w:numPr>
          <w:ilvl w:val="0"/>
          <w:numId w:val="1020"/>
        </w:numPr>
      </w:pPr>
      <w:r>
        <w:t xml:space="preserve">Prazo interno alvo:</w:t>
      </w:r>
      <w:r>
        <w:t xml:space="preserve"> </w:t>
      </w:r>
      <w:r>
        <w:rPr>
          <w:rStyle w:val="VerbatimChar"/>
        </w:rPr>
        <w:t xml:space="preserve">[preencher]</w:t>
      </w:r>
    </w:p>
    <w:p>
      <w:pPr>
        <w:pStyle w:val="Compact"/>
        <w:numPr>
          <w:ilvl w:val="0"/>
          <w:numId w:val="1020"/>
        </w:numPr>
      </w:pPr>
      <w:r>
        <w:t xml:space="preserve">Escalonamento em caso de risco de prazo:</w:t>
      </w:r>
      <w:r>
        <w:t xml:space="preserve"> </w:t>
      </w:r>
      <w:r>
        <w:rPr>
          <w:rStyle w:val="VerbatimChar"/>
        </w:rPr>
        <w:t xml:space="preserve">[preencher]</w:t>
      </w:r>
    </w:p>
    <w:p>
      <w:pPr>
        <w:pStyle w:val="Compact"/>
        <w:numPr>
          <w:ilvl w:val="0"/>
          <w:numId w:val="1020"/>
        </w:numPr>
      </w:pPr>
      <w:r>
        <w:t xml:space="preserve">Registro de justificativa para extensao de prazo: obrigatorio</w:t>
      </w:r>
    </w:p>
    <w:bookmarkEnd w:id="16"/>
    <w:bookmarkStart w:id="17" w:name="registro-de-versoes"/>
    <w:p>
      <w:pPr>
        <w:pStyle w:val="Heading2"/>
      </w:pPr>
      <w:r>
        <w:t xml:space="preserve">9. Registro de Versoes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Versao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Alteracao</w:t>
            </w:r>
          </w:p>
        </w:tc>
        <w:tc>
          <w:tcPr/>
          <w:p>
            <w:pPr>
              <w:pStyle w:val="Compact"/>
            </w:pPr>
            <w:r>
              <w:t xml:space="preserve">Responsavel</w:t>
            </w:r>
          </w:p>
        </w:tc>
        <w:tc>
          <w:tcPr/>
          <w:p>
            <w:pPr>
              <w:pStyle w:val="Compact"/>
            </w:pPr>
            <w:r>
              <w:t xml:space="preserve">Aprovacao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13/03/2026</w:t>
            </w:r>
          </w:p>
        </w:tc>
        <w:tc>
          <w:tcPr/>
          <w:p>
            <w:pPr>
              <w:pStyle w:val="Compact"/>
            </w:pPr>
            <w:r>
              <w:t xml:space="preserve">Emissao inicial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[preencher]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[pendente]</w:t>
            </w:r>
          </w:p>
        </w:tc>
      </w:tr>
    </w:tbl>
    <w:bookmarkEnd w:id="17"/>
    <w:bookmarkStart w:id="18" w:name="assinaturas"/>
    <w:p>
      <w:pPr>
        <w:pStyle w:val="Heading2"/>
      </w:pPr>
      <w:r>
        <w:t xml:space="preserve">10. Assinaturas</w:t>
      </w:r>
    </w:p>
    <w:p>
      <w:pPr>
        <w:pStyle w:val="FirstParagraph"/>
      </w:pPr>
      <w:r>
        <w:t xml:space="preserve">Elaboracao:</w:t>
      </w:r>
      <w:r>
        <w:t xml:space="preserve"> </w:t>
      </w:r>
      <w:r>
        <w:rPr>
          <w:rStyle w:val="VerbatimChar"/>
        </w:rPr>
        <w:t xml:space="preserve">[nome/cargo]</w:t>
      </w:r>
      <w:r>
        <w:t xml:space="preserve"> </w:t>
      </w:r>
      <w:r>
        <w:t xml:space="preserve">- Assinatura: __________________</w:t>
      </w:r>
      <w:r>
        <w:br/>
      </w:r>
      <w:r>
        <w:t xml:space="preserve">Revisao Juridica:</w:t>
      </w:r>
      <w:r>
        <w:t xml:space="preserve"> </w:t>
      </w:r>
      <w:r>
        <w:rPr>
          <w:rStyle w:val="VerbatimChar"/>
        </w:rPr>
        <w:t xml:space="preserve">[nome/cargo]</w:t>
      </w:r>
      <w:r>
        <w:t xml:space="preserve"> </w:t>
      </w:r>
      <w:r>
        <w:t xml:space="preserve">- Assinatura: __________________</w:t>
      </w:r>
      <w:r>
        <w:br/>
      </w:r>
      <w:r>
        <w:t xml:space="preserve">Aprovacao Final:</w:t>
      </w:r>
      <w:r>
        <w:t xml:space="preserve"> </w:t>
      </w:r>
      <w:r>
        <w:rPr>
          <w:rStyle w:val="VerbatimChar"/>
        </w:rPr>
        <w:t xml:space="preserve">[nome/cargo]</w:t>
      </w:r>
      <w:r>
        <w:t xml:space="preserve"> </w:t>
      </w:r>
      <w:r>
        <w:t xml:space="preserve">- Assinatura: 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Nota: este documento e modelo interno e nao substitui parecer juridico formal.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1"/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1"/>
  </w:num>
  <w:num w:numId="101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4">
    <w:abstractNumId w:val="991"/>
  </w:num>
  <w:num w:numId="101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6">
    <w:abstractNumId w:val="991"/>
  </w:num>
  <w:num w:numId="101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2026-03-13T16:22:54Z</dcterms:created>
  <dcterms:modified xsi:type="dcterms:W3CDTF">2026-03-13T16:22:54Z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