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Portfolio Case – AI-stödd Incidentanalys: Misstänkt Botnet-aktivitet</w:t>
      </w:r>
    </w:p>
    <w:p>
      <w:r>
        <w:t>Detta portfolio-case visar hur min AI-assistent används för strukturerad incidentanalys vid misstänkt botnetinfektion, inklusive teknisk analys, riskbedömning och rekommenderade åtgärder.</w:t>
      </w:r>
    </w:p>
    <w:p>
      <w:pPr>
        <w:pStyle w:val="Heading2"/>
      </w:pPr>
      <w:r>
        <w:t>Bakgrund</w:t>
      </w:r>
    </w:p>
    <w:p>
      <w:r>
        <w:t>Incidentrespons kräver snabb men korrekt analys. I praktiken präglas många organisationer av bristande struktur, vilket kan leda till felprioriteringar, fördröjda åtgärder och regulatoriska risker. Detta case demonstrerar hur AI kan användas som stöd utan att ersätta mänskligt ansvar.</w:t>
      </w:r>
    </w:p>
    <w:p>
      <w:pPr>
        <w:pStyle w:val="Heading2"/>
      </w:pPr>
      <w:r>
        <w:t>Incidentbeskrivning</w:t>
      </w:r>
    </w:p>
    <w:p>
      <w:r>
        <w:t>En användare rapporterar att datorn är mycket långsam. Aktivitetshanteraren visar okända processer och hög CPU-belastning. Systemet har även gjort DNS-förfrågningar mot en känd botnet-domän.</w:t>
      </w:r>
    </w:p>
    <w:p>
      <w:pPr>
        <w:pStyle w:val="Heading2"/>
      </w:pPr>
      <w:r>
        <w:t>Mål med analysen</w:t>
      </w:r>
    </w:p>
    <w:p>
      <w:r>
        <w:t>- Identifiera sannolik incidenttyp</w:t>
        <w:br/>
        <w:t>- Bedöma risknivå och påverkan</w:t>
        <w:br/>
        <w:t>- Föreslå tekniska, organisatoriska och kommunikativa åtgärder</w:t>
        <w:br/>
        <w:t>- Säkerställa spårbarhet och stöd för NIS2/MSB</w:t>
      </w:r>
    </w:p>
    <w:p>
      <w:pPr>
        <w:pStyle w:val="Heading2"/>
      </w:pPr>
      <w:r>
        <w:t>Analys (sammanfattning)</w:t>
      </w:r>
    </w:p>
    <w:p>
      <w:r>
        <w:t>Indikationerna tyder starkt på en pågående eller nyligen aktiv botnetinfektion. Kombinationen av okända processer, avvikande DNS-trafik och prestandapåverkan stärker denna bedömning.</w:t>
      </w:r>
    </w:p>
    <w:p>
      <w:pPr>
        <w:pStyle w:val="Heading2"/>
      </w:pPr>
      <w:r>
        <w:t>Riskbedömning</w:t>
      </w:r>
    </w:p>
    <w:p>
      <w:r>
        <w:t>Sannolikhet: Hög</w:t>
        <w:br/>
        <w:t>Konsekvens: Hög</w:t>
        <w:br/>
        <w:t>Riskklass: Hög</w:t>
        <w:br/>
        <w:br/>
        <w:t>Motivering:</w:t>
        <w:br/>
        <w:t>- Risk för vidare spridning</w:t>
        <w:br/>
        <w:t>- Möjlig dataläckage eller fjärrstyrning</w:t>
        <w:br/>
        <w:t>- Regulatorisk risk vid bristande incidentrespons</w:t>
      </w:r>
    </w:p>
    <w:p>
      <w:pPr>
        <w:pStyle w:val="Heading2"/>
      </w:pPr>
      <w:r>
        <w:t>Rekommenderade åtgärder</w:t>
      </w:r>
    </w:p>
    <w:p>
      <w:pPr>
        <w:pStyle w:val="ListBullet"/>
      </w:pPr>
      <w:r>
        <w:t>Omedelbara tekniska åtgärder:</w:t>
      </w:r>
    </w:p>
    <w:p>
      <w:pPr>
        <w:pStyle w:val="ListContinue"/>
      </w:pPr>
      <w:r>
        <w:t>Isolera drabbad enhet från nätverket</w:t>
      </w:r>
    </w:p>
    <w:p>
      <w:pPr>
        <w:pStyle w:val="ListContinue"/>
      </w:pPr>
      <w:r>
        <w:t>Genomför minnes- och malwareanalys</w:t>
      </w:r>
    </w:p>
    <w:p>
      <w:pPr>
        <w:pStyle w:val="ListContinue"/>
      </w:pPr>
      <w:r>
        <w:t>Blockera identifierade domäner/IP-adresser</w:t>
      </w:r>
    </w:p>
    <w:p>
      <w:pPr>
        <w:pStyle w:val="ListBullet"/>
      </w:pPr>
      <w:r>
        <w:t>Organisatoriska åtgärder:</w:t>
      </w:r>
    </w:p>
    <w:p>
      <w:pPr>
        <w:pStyle w:val="ListContinue"/>
      </w:pPr>
      <w:r>
        <w:t>Aktivera formell incidenthanteringsprocess</w:t>
      </w:r>
    </w:p>
    <w:p>
      <w:pPr>
        <w:pStyle w:val="ListContinue"/>
      </w:pPr>
      <w:r>
        <w:t>Dokumentera händelseförlopp och åtgärder</w:t>
      </w:r>
    </w:p>
    <w:p>
      <w:pPr>
        <w:pStyle w:val="ListBullet"/>
      </w:pPr>
      <w:r>
        <w:t>Uppföljande åtgärder:</w:t>
      </w:r>
    </w:p>
    <w:p>
      <w:pPr>
        <w:pStyle w:val="ListContinue"/>
      </w:pPr>
      <w:r>
        <w:t>Lessons learned-session</w:t>
      </w:r>
    </w:p>
    <w:p>
      <w:pPr>
        <w:pStyle w:val="ListContinue"/>
      </w:pPr>
      <w:r>
        <w:t>Uppdatera skyddsåtgärder och regler</w:t>
      </w:r>
    </w:p>
    <w:p>
      <w:pPr>
        <w:pStyle w:val="ListContinue"/>
      </w:pPr>
      <w:r>
        <w:t>Utbildning av användare</w:t>
      </w:r>
    </w:p>
    <w:p>
      <w:pPr>
        <w:pStyle w:val="Heading2"/>
      </w:pPr>
      <w:r>
        <w:t>Koppling till ramverk</w:t>
      </w:r>
    </w:p>
    <w:p>
      <w:r>
        <w:t>- MSB: Riktlinjer för incidenthantering</w:t>
        <w:br/>
        <w:t>- NIS2: Krav på incidentrapportering och hantering</w:t>
        <w:br/>
        <w:t>- ISO/IEC 27001: A.5.24–A.5.26</w:t>
      </w:r>
    </w:p>
    <w:p>
      <w:pPr>
        <w:pStyle w:val="Heading2"/>
      </w:pPr>
      <w:r>
        <w:t>Reflektion</w:t>
      </w:r>
    </w:p>
    <w:p>
      <w:r>
        <w:t>Case:t visar hur AI kan fungera som ett beslutsstöd i incidenthantering genom att strukturera analys, minska risken för förbiseenden och stärka kvaliteten i åtgärderna.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