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Governance Assessment Report – Template v1</w:t>
      </w:r>
    </w:p>
    <w:p>
      <w:pPr>
        <w:pStyle w:val="Heading2"/>
      </w:pPr>
      <w:r>
        <w:t>Document Purpose</w:t>
      </w:r>
    </w:p>
    <w:p>
      <w:r>
        <w:t>This template defines the standardized reporting format for enterprise-grade governance assessments based on the Enterprise Governance Assessment Framework – Core v1. It is intended for leadership, security governance, regulatory preparation, and audit-support contexts.</w:t>
      </w:r>
    </w:p>
    <w:p>
      <w:pPr>
        <w:pStyle w:val="Heading2"/>
      </w:pPr>
      <w:r>
        <w:t>1. Executive Summary</w:t>
      </w:r>
    </w:p>
    <w:p>
      <w:r>
        <w:t>High-level overview for executive stakeholders. Summarize purpose, scope, primary governance gaps, key risks, and major observations.</w:t>
      </w:r>
    </w:p>
    <w:p>
      <w:pPr>
        <w:pStyle w:val="Heading2"/>
      </w:pPr>
      <w:r>
        <w:t>2. Context &amp; Scope</w:t>
      </w:r>
    </w:p>
    <w:p>
      <w:r>
        <w:t>Describe organizational context, sector, regulatory drivers (e.g., NIS2, ISO/IEC 27001), and the purpose of the assessment.</w:t>
      </w:r>
    </w:p>
    <w:p>
      <w:pPr>
        <w:pStyle w:val="Heading2"/>
      </w:pPr>
      <w:r>
        <w:t>3. Governance &amp; Regulatory Baseline</w:t>
      </w:r>
    </w:p>
    <w:p>
      <w:r>
        <w:t>Outline applicable governance expectations, leadership responsibilities, regulatory obligations, and reference frameworks.</w:t>
      </w:r>
    </w:p>
    <w:p>
      <w:pPr>
        <w:pStyle w:val="Heading2"/>
      </w:pPr>
      <w:r>
        <w:t>4. Observed Organizational State</w:t>
      </w:r>
    </w:p>
    <w:p>
      <w:r>
        <w:t>Summarize described current governance structures, accountability, documentation, risk management practices, and assurance mechanisms.</w:t>
      </w:r>
    </w:p>
    <w:p>
      <w:pPr>
        <w:pStyle w:val="Heading2"/>
      </w:pPr>
      <w:r>
        <w:t>5. Governance Gap Analysis</w:t>
      </w:r>
    </w:p>
    <w:p>
      <w:r>
        <w:t>Structured analysis of identified governance gaps. This section may include tables mapping expectations to observed conditions.</w:t>
      </w:r>
    </w:p>
    <w:p>
      <w:pPr>
        <w:pStyle w:val="Heading2"/>
      </w:pPr>
      <w:r>
        <w:t>6. Risk &amp; Organizational Impact</w:t>
      </w:r>
    </w:p>
    <w:p>
      <w:r>
        <w:t>Explain how identified gaps translate into regulatory exposure, strategic risk, operational risk, and reputational or sustainability implications.</w:t>
      </w:r>
    </w:p>
    <w:p>
      <w:pPr>
        <w:pStyle w:val="Heading2"/>
      </w:pPr>
      <w:r>
        <w:t>7. Maturity Assessment</w:t>
      </w:r>
    </w:p>
    <w:p>
      <w:r>
        <w:t>Assess governance maturity across domains (e.g., governance structure, leadership accountability, risk management, assurance, integration).</w:t>
      </w:r>
    </w:p>
    <w:p>
      <w:pPr>
        <w:pStyle w:val="Heading2"/>
      </w:pPr>
      <w:r>
        <w:t>8. Improvement Domains</w:t>
      </w:r>
    </w:p>
    <w:p>
      <w:r>
        <w:t>Identify strategic improvement areas without prescribing specific actions or technical solutions.</w:t>
      </w:r>
    </w:p>
    <w:p>
      <w:pPr>
        <w:pStyle w:val="Heading2"/>
      </w:pPr>
      <w:r>
        <w:t>9. Leadership Escalation View</w:t>
      </w:r>
    </w:p>
    <w:p>
      <w:r>
        <w:t>Highlight matters requiring executive or board-level awareness, decision, or ownership.</w:t>
      </w:r>
    </w:p>
    <w:p>
      <w:pPr>
        <w:pStyle w:val="Heading2"/>
      </w:pPr>
      <w:r>
        <w:t>10. Assumptions &amp; Confidence Level</w:t>
      </w:r>
    </w:p>
    <w:p>
      <w:r>
        <w:t>Document analytical assumptions, information gaps, and confidence considerations.</w:t>
      </w:r>
    </w:p>
    <w:p>
      <w:pPr>
        <w:pStyle w:val="Heading2"/>
      </w:pPr>
      <w:r>
        <w:t>11. Governance Disclaimer</w:t>
      </w:r>
    </w:p>
    <w:p>
      <w:r>
        <w:t>All reports must conclude with a governance disclaimer reinforcing human accountability and organizational ownership.</w:t>
      </w:r>
    </w:p>
    <w:p>
      <w:pPr>
        <w:pStyle w:val="Heading2"/>
      </w:pPr>
      <w:r>
        <w:t>Standard Governance Disclaimer</w:t>
      </w:r>
    </w:p>
    <w:p>
      <w:r>
        <w:t>This report constitutes analytical decision support. It does not replace organizational risk ownership, executive accountability, or formal governance processes.</w:t>
      </w:r>
    </w:p>
    <w:p>
      <w:pPr>
        <w:pStyle w:val="Heading2"/>
      </w:pPr>
      <w:r>
        <w:t>Versioning</w:t>
      </w:r>
    </w:p>
    <w:p>
      <w:r>
        <w:t>Enterprise Governance Assessment Report – Template v1</w:t>
        <w:br/>
        <w:t>Status: Baseline</w:t>
        <w:br/>
        <w:t>Framework Reference: Enterprise Governance Assessment Framework – Core v1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