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5C9B"/>
          <w:sz w:val="52"/>
          <w:szCs w:val="52"/>
        </w:rPr>
        <w:t xml:space="preserve">美股市場研究報告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輝達 (NVDA) 與台積電 (TSM) 本週動態</w:t>
      </w:r>
    </w:p>
    <w:p>
      <w:pPr>
        <w:pBdr>
          <w:bottom w:val="single" w:color="1E5C9B" w:sz="6" w:space="8"/>
        </w:pBd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報告日期：2026 年 4 月 4 日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一、輝達 (NVIDIA / NVDA)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5C9B"/>
          <w:sz w:val="26"/>
          <w:szCs w:val="26"/>
        </w:rPr>
        <w:t xml:space="preserve">最新財報概況（FY2026 Q1）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E5C9B" w:sz="1"/>
              <w:left w:val="single" w:color="1E5C9B" w:sz="1"/>
              <w:bottom w:val="single" w:color="1E5C9B" w:sz="1"/>
              <w:right w:val="single" w:color="1E5C9B" w:sz="1"/>
            </w:tcBorders>
            <w:shd w:fill="1E5C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160"/>
            <w:tcBorders>
              <w:top w:val="single" w:color="1E5C9B" w:sz="1"/>
              <w:left w:val="single" w:color="1E5C9B" w:sz="1"/>
              <w:bottom w:val="single" w:color="1E5C9B" w:sz="1"/>
              <w:right w:val="single" w:color="1E5C9B" w:sz="1"/>
            </w:tcBorders>
            <w:shd w:fill="1E5C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數據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季度總營收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$440.62 億美元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GAAP 毛利率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60.5%（不計 H20 費用為 71.3%）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 GAAP EPS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$0.81（不計 H20 費用為 $0.96）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計算與網路部門營收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$395.89 億美元（主要成長動能）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FY2026 營收指引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~$450 億 ±2%（已計入 H20 損失）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5C9B"/>
          <w:sz w:val="26"/>
          <w:szCs w:val="26"/>
        </w:rPr>
        <w:t xml:space="preserve">關鍵新聞摘要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H20 出口管制衝擊（最大近期風險）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美國政府於 2025 年 4 月 9 日通知輝達，H20 晶片出口至中國須申請許可證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Q1 已認列 $45 億美元 超額庫存與採購義務費用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Q2 預計 H20 營收缺口約 $80 億美元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Blackwell 架構創紀錄量產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Blackwell（NVL72）已進入全面量產，為公司史上最快速的產品爬坡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本季貢獻資料中心計算營收比重接近 70%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網路部門營收達 ~$50 億美元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超大規模訂單積壓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Blackwell 與 Rubin 架構訂單積壓估計達 $1 兆美元（至 2027 年）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已確認合作夥伴：Marvell（$20 億 NVLink 整合協議）、CoreWeave、Foxconn、Argonne 國家實驗室等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下一代 Vera Rubin 架構已進入生產階段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5C9B"/>
          <w:sz w:val="26"/>
          <w:szCs w:val="26"/>
        </w:rPr>
        <w:t xml:space="preserve">輝達股價敏感因子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E5C9B" w:sz="1"/>
              <w:left w:val="single" w:color="1E5C9B" w:sz="1"/>
              <w:bottom w:val="single" w:color="1E5C9B" w:sz="1"/>
              <w:right w:val="single" w:color="1E5C9B" w:sz="1"/>
            </w:tcBorders>
            <w:shd w:fill="1E5C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7360"/>
            <w:tcBorders>
              <w:top w:val="single" w:color="1E5C9B" w:sz="1"/>
              <w:left w:val="single" w:color="1E5C9B" w:sz="1"/>
              <w:bottom w:val="single" w:color="1E5C9B" w:sz="1"/>
              <w:right w:val="single" w:color="1E5C9B" w:sz="1"/>
            </w:tcBorders>
            <w:shd w:fill="1E5C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主要觸發條件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H20 出口許可核發、Blackwell/Rubin 積壓訂單如期轉換出貨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基準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依照 Q2 指引執行（$450 億）、逐季出口管制影響可控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出口管制持續延伸、台積電先進製程產能瓶頸拖累出貨時程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二、台積電 (TSMC / TSM)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5C9B"/>
          <w:sz w:val="26"/>
          <w:szCs w:val="26"/>
        </w:rPr>
        <w:t xml:space="preserve">最新財報概況（2025 Q4 / 2026 Q1 指引）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E5C9B" w:sz="1"/>
              <w:left w:val="single" w:color="1E5C9B" w:sz="1"/>
              <w:bottom w:val="single" w:color="1E5C9B" w:sz="1"/>
              <w:right w:val="single" w:color="1E5C9B" w:sz="1"/>
            </w:tcBorders>
            <w:shd w:fill="1E5C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160"/>
            <w:tcBorders>
              <w:top w:val="single" w:color="1E5C9B" w:sz="1"/>
              <w:left w:val="single" w:color="1E5C9B" w:sz="1"/>
              <w:bottom w:val="single" w:color="1E5C9B" w:sz="1"/>
              <w:right w:val="single" w:color="1E5C9B" w:sz="1"/>
            </w:tcBorders>
            <w:shd w:fill="1E5C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數據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Q4 合併營收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$337.3 億美元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毛利率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62.3%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淨利率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48.3%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先進製程（7nm 以下）佔比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77% 晶圓營收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3nm / 5nm 佔比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3nm 28%；5nm 35%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Q1 營收指引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$346 億 ~ $358 億美元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年資本支出計畫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$520 億 ~ $560 億美元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5C9B"/>
          <w:sz w:val="26"/>
          <w:szCs w:val="26"/>
        </w:rPr>
        <w:t xml:space="preserve">關鍵新聞摘要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2nm 量產啟動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2nm（N2）製程於 2025 Q4 正式進入量產，採用奈米片電晶體（Nanosheet）技術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A16 超級電源軌（Super Power Rail）整合進入部署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3nm 產能接近上限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業界報告顯示 3nm 月產能已超過 15 萬片晶圓，2026 年接近滿載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客戶需支付優先排程溢價，台積電持續擴建 Fab 15B、Fab 18B 等廠區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亞利桑那超級廠區加速推進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台積電 2026 年資本支出較 2025 年（$409 億）大幅提升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70~80% 資本支出集中於先進製程與先進封裝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亞利桑那廠區升級為「超級廠群（Gigafab Cluster）」，對美投資總額達 $1,650 億美元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同步布局：日本、德國廠區持續推進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注意：台積電管理層已明確警示，海外廠利潤率低於台灣本島廠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5C9B"/>
          <w:sz w:val="26"/>
          <w:szCs w:val="26"/>
        </w:rPr>
        <w:t xml:space="preserve">台積電股價敏感因子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E5C9B" w:sz="1"/>
              <w:left w:val="single" w:color="1E5C9B" w:sz="1"/>
              <w:bottom w:val="single" w:color="1E5C9B" w:sz="1"/>
              <w:right w:val="single" w:color="1E5C9B" w:sz="1"/>
            </w:tcBorders>
            <w:shd w:fill="1E5C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160"/>
            <w:tcBorders>
              <w:top w:val="single" w:color="1E5C9B" w:sz="1"/>
              <w:left w:val="single" w:color="1E5C9B" w:sz="1"/>
              <w:bottom w:val="single" w:color="1E5C9B" w:sz="1"/>
              <w:right w:val="single" w:color="1E5C9B" w:sz="1"/>
            </w:tcBorders>
            <w:shd w:fill="1E5C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影響方向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2nm/3nm 良率與產能爬坡速度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供給端最大驅動力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亞利桑那廠資本支出執行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執行風險 / 毛利率壓力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加速器客戶訂單轉換率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需求端支撐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海外廠利潤率稀釋幅度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中期毛利率下行風險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三、市場互動關係分析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超大規模需求（Meta、AWS、Google、Microsoft）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↓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輝達 Blackwell / Rubin 訂單積壓 ~$1 兆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↓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台積電 3nm / 2nm 先進製程產能瓶頸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↑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$520~560 億美元資本支出擴產計畫（2026）</w:t>
      </w:r>
    </w:p>
    <w:p>
      <w:pPr>
        <w:spacing w:after="120"/>
      </w:pPr>
    </w:p>
    <w:p>
      <w:pPr>
        <w:pBdr>
          <w:left w:val="single" w:color="1E5C9B" w:sz="12" w:space="8"/>
        </w:pBdr>
        <w:shd w:fill="EBF3FB" w:val="clear"/>
        <w:spacing w:after="200"/>
      </w:pPr>
      <w:r>
        <w:rPr>
          <w:rFonts w:ascii="Arial" w:cs="Arial" w:eastAsia="Arial" w:hAnsi="Arial"/>
          <w:b/>
          <w:bCs/>
          <w:color w:val="1E5C9B"/>
          <w:sz w:val="22"/>
          <w:szCs w:val="22"/>
        </w:rPr>
        <w:t xml:space="preserve">核心觀察：台積電先進製程產能執行進度，是決定輝達訂單積壓能否如期轉換為實際營收的最關鍵供應鏈變數。</w:t>
      </w: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四、近期需追蹤的關鍵指標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5C9B"/>
          <w:sz w:val="26"/>
          <w:szCs w:val="26"/>
        </w:rPr>
        <w:t xml:space="preserve">輝達方面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H20 出口許可申請進度與監管機構最終裁定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Blackwell / Rubin 實際出貨數量與超大規模客戶部署公告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下季財報電話會議管理層指引更新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5C9B"/>
          <w:sz w:val="26"/>
          <w:szCs w:val="26"/>
        </w:rPr>
        <w:t xml:space="preserve">台積電方面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2026 Q1 實際營收是否落在指引區間（$346~358 億）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2nm 良率爬坡與月產能公告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亞利桑那廠設備安裝與量產時間表更新</w:t>
      </w: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五、重要風險提示</w:t>
      </w:r>
    </w:p>
    <w:p>
      <w:pPr>
        <w:pBdr>
          <w:left w:val="single" w:color="FFA000" w:sz="12" w:space="8"/>
        </w:pBdr>
        <w:shd w:fill="FFF8E1" w:val="clear"/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本報告基於公開新聞與法說會資料彙整，不構成投資建議。相關個股近期即時股價走勢、分析師目標價調整、13F 法人持股異動等市場微觀數據，建議另行參閱 Bloomberg、Reuters 等即時金融資訊平台。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資料來源：NVIDIA FY2026 Q1 財報、台積電 2025 Q4 法說會、CNBC、WCCFTech、TechBuzz.ai 等（共 22 項一手資料）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5C9B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本報告不構成投資建議  |  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C9B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美股市場研究報告：輝達 (NVDA) 與台積電 (TSM)</w:t>
    </w:r>
    <w:r>
      <w:rPr>
        <w:rFonts w:ascii="Arial" w:cs="Arial" w:eastAsia="Arial" w:hAnsi="Arial"/>
        <w:color w:val="555555"/>
        <w:sz w:val="18"/>
        <w:szCs w:val="18"/>
      </w:rPr>
      <w:t xml:space="preserve">	2026 年 4 月 4 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5C9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2026-04-04T15:32:39.479Z</dcterms:created>
  <dcterms:modified xsi:type="dcterms:W3CDTF">2026-04-04T15:32:39.480Z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