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1A6628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i/>
          <w:color w:val="000000"/>
          <w:sz w:val="48"/>
        </w:rPr>
        <w:t>Table of Contents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1. Introduction . . . . . . . . . . . . . . . . . . . . . . . . . . . . . . . . . . . . . . . . . . . . . . . . . . . . . . . . . .1-1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Need for Consistency  . . . . . . . . . . . . . . . . . . . . . . . . . . . . . . . . . . . . . . . . . . . . . . . . . . . . . . . 1-1</w:t>
      </w:r>
    </w:p>
    <w:p w:rsidR="001A6628" w:rsidRPr="001A6628" w:rsidRDefault="001A6628" w:rsidP="001A6628">
      <w:pPr>
        <w:widowControl/>
        <w:spacing w:after="3" w:line="419" w:lineRule="auto"/>
        <w:ind w:left="1290" w:right="199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Elements of TWAIN . . . . . . . . . . . . . . . . . . . . . . . . . . . . . . . . . . . . . . . . . . . . . . . . . . . . . . . . . 1-1 Benefits of Using TWAIN  . . . . . . . . . . . . . . . . . . . . . . . . . . . . . . . . . . . . . . . . . . . . . . . . . . . . 1-2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Creation of TWAIN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2. Technical Overview. . . . . . . . . . . . . . . . . . . . . . . . . . . . . . . . . . . . . . . . . . . . . . . . . . . .2-1</w:t>
      </w:r>
    </w:p>
    <w:p w:rsidR="001A6628" w:rsidRPr="001A6628" w:rsidRDefault="001A6628" w:rsidP="001A6628">
      <w:pPr>
        <w:widowControl/>
        <w:spacing w:after="3" w:line="419" w:lineRule="auto"/>
        <w:ind w:left="1290" w:right="27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TWAIN Architecture  . . . . . . . . . . . . . . . . . . . . . . . . . . . . . . . . . . . . . . . . . . . . . . . . . . . . . . . . 2-1 TWAIN User Interface . . . . . . . . . . . . . . . . . . . . . . . . . . . . . . . . . . . . . . . . . . . . . . . . . . . . . . . 2-4 Communication Between the Elements of TWAIN  . . . . . . . . . . . . . . . . . . . . . . . . . . . . . . . . . 2-5 Using Operation Triplets . . . . . . . . . . . . . . . . . . . . . . . . . . . . . . . . . . . . . . . . . . . . . . . . . . . . 2-10 The State-Based Protocol . . . . . . . . . . . . . . . . . . . . . . . . . . . . . . . . . . . . . . . . . . . . . . . . . . . 2-11 Capabilities  . . . . . . . . . . . . . . . . . . . . . . . . . . . . . . . . . . . . . . . . . . . . . . . . . . . . . . . . . . . . . . 2-14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Modes Available for Data Transfer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 Application Implementation . . . . . . . . . . . . . . . . . . . . . . . . . . . . . . . . . . . . . . . . . . . . .3-1</w:t>
      </w:r>
    </w:p>
    <w:p w:rsidR="001A6628" w:rsidRPr="001A6628" w:rsidRDefault="001A6628" w:rsidP="001A6628">
      <w:pPr>
        <w:widowControl/>
        <w:spacing w:after="3" w:line="419" w:lineRule="auto"/>
        <w:ind w:left="1290" w:right="39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Levels of TWAIN Implementation  . . . . . . . . . . . . . . . . . . . . . . . . . . . . . . . . . . . . . . . . . . . . . . 3-1 Installation of the Source Manager Software  . . . . . . . . . . . . . . . . . . . . . . . . . . . . . . . . . . . . . 3-2 Changes Needed to Prepare for a TWAIN Session  . . . . . . . . . . . . . . . . . . . . . . . . . . . . . . . . 3-2 Controlling a TWAIN Session from Your Application  . . . . . . . . . . . . . . . . . . . . . . . . . . . . . . . 3-9 Error Handling . . . . . . . . . . . . . . . . . . . . . . . . . . . . . . . . . . . . . . . . . . . . . . . . . . . . . . . . . . . . 3-26 Best Practices for TWAIN Compliant Applications  . . . . . . . . . . . . . . . . . . . . . . . . . . . . . . . . 3-28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Legacy Issues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lastRenderedPageBreak/>
        <w:t>4. Advanced Application Implementation . . . . . . . . . . . . . . . . . . . . . . . . . . . . . . . . . . . .4-1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Capabilities  . . . . . . . . . . . . . . . . . . . . . . . . . . . . . . . . . . . . . . . . . . . . . . . . . . . . . . . . . . . . . . . 4-1 Options for Transferring Data  . . . . . . . . . . . . . . . . . . . . . . . . . . . . . . . . . . . . . . . . . . . . . . . . 4-17 The ImageData and Its Layout  . . . . . . . . . . . . . . . . . . . . . . . . . . . . . . . . . . . . . . . . . . . . . . . 4-23 Transfer of Multiple Images . . . . . . . . . . . . . . . . . . . . . . . . . . . . . . . . . . . . . . . . . . . . . . . . . . 4-26 Transfer of Compressed Data . . . . . . . . . . . . . . . . . . . . . . . . . . . . . . . . . . . . . . . . . . . . . . . . 4-32 Alternative User Interfaces  . . . . . . . . . . . . . . . . . . . . . . . . . . . . . . . . . . . . . . . . . . . . . . . . . . 4-35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Grayscale and Color Information for an Image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5. Source Implementation. . . . . . . . . . . . . . . . . . . . . . . . . . . . . . . . . . . . . . . . . . . . . . . . .5-1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The Structure of a Source . . . . . . . . . . . . . . . . . . . . . . . . . . . . . . . . . . . . . . . . . . . . . . . . . . . . 5-1 Operation Triplets  . . . . . . . . . . . . . . . . . . . . . . . . . . . . . . . . . . . . . . . . . . . . . . . . . . . . . . . . . . 5-2 Sources and the Event Loop . . . . . . . . . . . . . . . . . . . . . . . . . . . . . . . . . . . . . . . . . . . . . . . . . . 5-3 User Interface Guidelines  . . . . . . . . . . . . . . . . . . . . . . . . . . . . . . . . . . . . . . . . . . . . . . . . . . . . 5-4 Capability Negotiation . . . . . . . . . . . . . . . . . . . . . . . . . . . . . . . . . . . . . . . . . . . . . . . . . . . . . . . 5-6 Data Transfers  . . . . . . . . . . . . . . . . . . . . . . . . . . . . . . . . . . . . . . . . . . . . . . . . . . . . . . . . . . . . 5-8 Error Handling . . . . . . . . . . . . . . . . . . . . . . . . . . . . . . . . . . . . . . . . . . . . . . . . . . . . . . . . . . . . 5-11 Memory Management . . . . . . . . . . . . . . . . . . . . . . . . . . . . . . . . . . . . . . . . . . . . . . . . . . . . . . 5-12 Requirements for a Source to be TWAIN-Compliant  . . . . . . . . . . . . . . . . . . . . . . . . . . . . . . 5-13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Other Topics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 Entry Points and Triplet Components . . . . . . . . . . . . . . . . . . . . . . . . . . . . . . . . . . . . .6-1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Entry Points . . . . . . . . . . . . . . . . . . . . . . . . . . . . . . . . . . . . . . . . . . . . . . . . . . . . . . . . . . . . . . . 6-1 Data Groups  . . . . . . . . . . . . . . . . . . . . . . . . . . . . . . . . . . . . . . . . . . . . . . . . . . . . . . . . . . . . . . 6-4 Data Argument Types . . . . . . . . . . . . . . . . . . . . . . . . . . . . . . . . . . . . . . . . . . . . . . . . . . . . . . . 6-4 Messages  . . . . . . . . . . . . . . . . . . . . . . . . . . . . . . . . . . . . . . . . . . . . . . . . . . . . . . . . . . . . . . . . 6-6 Custom Components of Triplets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Content>
        <w:p w:rsidR="001A6628" w:rsidRPr="001A6628" w:rsidRDefault="001A6628" w:rsidP="001A6628">
          <w:pPr>
            <w:widowControl/>
            <w:spacing w:after="771" w:line="265" w:lineRule="auto"/>
            <w:ind w:left="10" w:right="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Arial" w:eastAsia="Arial" w:hAnsi="Arial" w:cs="Arial"/>
              <w:i/>
              <w:color w:val="000000"/>
              <w:sz w:val="16"/>
            </w:rPr>
            <w:t>Table of Contents</w:t>
          </w:r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255" w:line="259" w:lineRule="auto"/>
            <w:ind w:left="25" w:right="44" w:hanging="10"/>
            <w:jc w:val="left"/>
            <w:rPr>
              <w:rFonts w:ascii="Arial" w:eastAsia="Arial" w:hAnsi="Arial" w:cs="Arial"/>
              <w:b/>
              <w:color w:val="00007F"/>
              <w:sz w:val="24"/>
            </w:rPr>
          </w:pP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begin"/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instrText xml:space="preserve"> TOC \o "1-2" \h \z \u </w:instrText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separate"/>
          </w:r>
          <w:hyperlink w:anchor="_Toc864491"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7. Operation Triplets . . . . . . . . . . . . . . . . . . . . . . . . . . . . . . . . . . . . . . . . . . . . . . . . . . . . .7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ab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begin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instrText>PAGEREF _Toc864491 \h</w:instrTex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separate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1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2">
            <w:r w:rsidRPr="001A6628">
              <w:rPr>
                <w:rFonts w:ascii="Arial" w:eastAsia="Arial" w:hAnsi="Arial" w:cs="Arial"/>
                <w:color w:val="000000"/>
                <w:sz w:val="20"/>
              </w:rPr>
              <w:t>Triplet Overview  . . . . . . . . . . . . . . . . . . . . . . . . . . . . . . . . . . . . . . . . . . . . . . . . . . . . . . . . . . . 7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_Toc864492 \h</w:instrTex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3">
            <w:r w:rsidRPr="001A6628">
              <w:rPr>
                <w:rFonts w:ascii="Arial" w:eastAsia="Arial" w:hAnsi="Arial" w:cs="Arial"/>
                <w:color w:val="000000"/>
                <w:sz w:val="20"/>
              </w:rPr>
              <w:t>Format of the Operation Triplet Descriptions  . . . . . . . . . . . . . . . . . . . . . . . . . . . . . . . . . . . . . 7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_Toc864493 \h</w:instrTex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4">
            <w:r w:rsidRPr="001A6628">
              <w:rPr>
                <w:rFonts w:ascii="Arial" w:eastAsia="Arial" w:hAnsi="Arial" w:cs="Arial"/>
                <w:color w:val="000000"/>
                <w:sz w:val="20"/>
              </w:rPr>
              <w:t>Operation Triplets  . . . . . . . . . . . . . . . . . . . . . . . . . . . . . . . . . . . . . . . . . . . . . . . . . . . . . . . . . . 7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_Toc864494 \h</w:instrTex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spacing w:after="165" w:line="247" w:lineRule="auto"/>
            <w:ind w:left="1450" w:right="5782" w:hanging="10"/>
            <w:jc w:val="lef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Book Antiqua" w:eastAsia="Book Antiqua" w:hAnsi="Book Antiqua" w:cs="Book Antiqua"/>
              <w:color w:val="000000"/>
              <w:sz w:val="20"/>
            </w:rPr>
            <w:fldChar w:fldCharType="end"/>
          </w:r>
        </w:p>
      </w:sdtContent>
    </w:sdt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 Data Types and Data Structures . . . . . . . . . . . . . . . . . . . . . . . . . . . . . . . . . . . . . . . . .8-1</w:t>
      </w:r>
    </w:p>
    <w:p w:rsidR="001A6628" w:rsidRPr="001A6628" w:rsidRDefault="001A6628" w:rsidP="001A6628">
      <w:pPr>
        <w:widowControl/>
        <w:spacing w:after="3" w:line="419" w:lineRule="auto"/>
        <w:ind w:left="1290" w:right="50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Naming Conventions . . . . . . . . . . . . . . . . . . . . . . . . . . . . . . . . . . . . . . . . . . . . . . . . . . . . . . . . 8-1 Platform Dependent Definitions and Typedefs  . . . . . . . . . . . . . . . . . . . . . . . . . . . . . . . . . . . . 8-3 Definitions of Common Types . . . . . . . . . . . . . . . . . . . . . . . . . . . . . . . . . . . . . . . . . . . . . . . . . 8-6 Data Structure Definitions . . . . . . . . . . . . . . . . . . . . . . . . . . . . . . . . . . . . . . . . . . . . . . . . . . . . 8-8 Data Argument Types that Don’t  Have Associated TW_Structures . . . . . . . . . . . . . . . . . . . 8-63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Constants  . . . . . . . . . . . . . . . . . . . . . . . . . . . . . . . . . . . . . . . . . . . . . . . . . . . . . . . . . . . . . . . 8-65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Deprecated Items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 Extended Image Information Definitions. . . . . . . . . . . . . . . . . . . . . . . . . . . . . . . . . . .9-1</w:t>
      </w:r>
    </w:p>
    <w:p w:rsidR="001A6628" w:rsidRPr="001A6628" w:rsidRDefault="001A6628" w:rsidP="001A6628">
      <w:pPr>
        <w:widowControl/>
        <w:spacing w:after="3" w:line="419" w:lineRule="auto"/>
        <w:ind w:left="1290" w:right="161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TWAIN 1.7 Extended Image Attribute Capabilities . . . . . . . . . . . . . . . . . . . . . . . . . . . . . . . . . 9-1 TWAIN 1.9 Extended Image Attribute Capabilities . . . . . . . . . . . . . . . . . . . . . . . . . . . . . . . . 9-11 TWAIN 1.91 Extended Image Attribute Capabilities . . . . . . . . . . . . . . . . . . . . . . . . . . . . . . . 9-14 TWAIN 2.0 Extended Image Attribute Capabilities . . . . . . . . . . . . . . . . . . . . . . . . . . . . . . . . 9-16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TWAIN 2.1 Extended Image Attribute Capabilities . . . . . . . . . . . . . . . . . . . . . . . . . . . . . . . . 9-16</w:t>
      </w:r>
    </w:p>
    <w:p w:rsidR="001A6628" w:rsidRPr="001A6628" w:rsidRDefault="001A6628" w:rsidP="001A6628">
      <w:pPr>
        <w:widowControl/>
        <w:spacing w:after="148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TWAIN 2.2 Extended Image Attribute Capabilities . . . . . . . . . . . . . . . . . . . . . . . . . . . . . . . . 9-17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TWAIN 2.3 Extended Image Attribute Capabilities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10.Capabilities. . . . . . . . . . . . . . . . . . . . . . . . . . . . . . . . . . . . . . . . . . . . . . . . . . . . . . . . . .10-1</w:t>
      </w:r>
    </w:p>
    <w:p w:rsidR="001A6628" w:rsidRPr="001A6628" w:rsidRDefault="001A6628" w:rsidP="001A6628">
      <w:pPr>
        <w:widowControl/>
        <w:spacing w:after="1" w:line="419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Overview . . . . . . . . . . . . . . . . . . . . . . . . . . . . . . . . . . . . . . . . . . . . . . . . . . . . . . . . . . . . . . . . 10-1 Required Capabilities  . . . . . . . . . . . . . . . . . . . . . . . . . . . . . . . . . . . . . . . . . . . . . . . . . . . . . . 10-3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Capabilities in Categories of Functionality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lastRenderedPageBreak/>
        <w:t>11.Return Codes and Condition Codes . . . . . . . . . . . . . . . . . . . . . . . . . . . . . . . . . . . . .11-1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An Overview of Return Codes and Condition Codes  . . . . . . . . . . . . . . . . . . . . . . . . . . . . . . 11-1 Currently Defined Return Codes . . . . . . . . . . . . . . . . . . . . . . . . . . . . . . . . . . . . . . . . . . . . . . 11-2 Currently Defined Condition Codes . . . . . . . . . . . . . . . . . . . . . . . . . . . . . . . . . . . . . . . . . . . . 11-3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Custom Return and Condition Codes 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12.Operating System Dependencies. . . . . . . . . . . . . . . . . . . . . . . . . . . . . . . . . . . . . . . .12-1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Windows . . . . . . . . . . . . . . . . . . . . . . . . . . . . . . . . . . . . . . . . . . . . . . . . . . . . 12-1 Developing for Mac . . . . . . . . . . . . . . . . . . . . . . . . . . . . . . . . . . . . . . . . . . . . . . . . . . . . . . . . 12-8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Linux 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13.TWAIN Self-Certification Process for Data Sources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 w:hint="eastAsi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B.TWAIN Technical 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Support.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bookmarkStart w:id="0" w:name="_GoBack"/>
      <w:bookmarkEnd w:id="0"/>
      <w:r w:rsidRPr="00D95054">
        <w:rPr>
          <w:rFonts w:ascii="Arial" w:eastAsia="Arial" w:hAnsi="Arial" w:cs="Arial"/>
          <w:b/>
          <w:color w:val="00007F"/>
          <w:sz w:val="24"/>
        </w:rPr>
        <w:t>. . . . . . . . . . . . . . . . . B 1</w:t>
      </w:r>
    </w:p>
    <w:p w:rsidR="00D95054" w:rsidRPr="00D95054" w:rsidRDefault="00D95054" w:rsidP="00D95054">
      <w:pPr>
        <w:widowControl/>
        <w:spacing w:after="342" w:line="265" w:lineRule="auto"/>
        <w:jc w:val="left"/>
        <w:rPr>
          <w:rFonts w:ascii="Arial" w:hAnsi="Arial" w:cs="Arial" w:hint="eastAsia"/>
          <w:color w:val="000000"/>
          <w:sz w:val="20"/>
        </w:rPr>
      </w:pPr>
      <w:r w:rsidRPr="00D95054">
        <w:rPr>
          <w:rFonts w:ascii="Arial" w:eastAsia="Arial" w:hAnsi="Arial" w:cs="Arial"/>
          <w:color w:val="000000"/>
          <w:sz w:val="20"/>
        </w:rPr>
        <w:t>E-Mail Support 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</w:t>
      </w:r>
      <w:r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B-1 Worldwide Web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 .</w:t>
      </w:r>
      <w:r w:rsidRPr="00D95054">
        <w:rPr>
          <w:rFonts w:ascii="Arial" w:eastAsia="Arial" w:hAnsi="Arial" w:cs="Arial"/>
          <w:color w:val="000000"/>
          <w:sz w:val="20"/>
        </w:rPr>
        <w:t>. .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0E" w:rsidRDefault="004A300E" w:rsidP="001A6628">
      <w:r>
        <w:separator/>
      </w:r>
    </w:p>
  </w:endnote>
  <w:endnote w:type="continuationSeparator" w:id="0">
    <w:p w:rsidR="004A300E" w:rsidRDefault="004A300E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D95054" w:rsidRPr="00D95054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D95054" w:rsidRPr="00D95054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D95054" w:rsidRPr="00D95054">
      <w:rPr>
        <w:rFonts w:ascii="Arial" w:eastAsia="Arial" w:hAnsi="Arial" w:cs="Arial"/>
        <w:i/>
        <w:noProof/>
        <w:sz w:val="16"/>
      </w:rPr>
      <w:t>5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0E" w:rsidRDefault="004A300E" w:rsidP="001A6628">
      <w:r>
        <w:separator/>
      </w:r>
    </w:p>
  </w:footnote>
  <w:footnote w:type="continuationSeparator" w:id="0">
    <w:p w:rsidR="004A300E" w:rsidRDefault="004A300E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627B9"/>
    <w:rsid w:val="000A5A77"/>
    <w:rsid w:val="000B4F55"/>
    <w:rsid w:val="000E14D5"/>
    <w:rsid w:val="000F235D"/>
    <w:rsid w:val="001215F4"/>
    <w:rsid w:val="001A6628"/>
    <w:rsid w:val="001C1D26"/>
    <w:rsid w:val="00224F56"/>
    <w:rsid w:val="00322BC5"/>
    <w:rsid w:val="0033289E"/>
    <w:rsid w:val="00357E9A"/>
    <w:rsid w:val="003654FA"/>
    <w:rsid w:val="003B13FD"/>
    <w:rsid w:val="004A300E"/>
    <w:rsid w:val="004D6C44"/>
    <w:rsid w:val="005A2432"/>
    <w:rsid w:val="00687BA1"/>
    <w:rsid w:val="00693B18"/>
    <w:rsid w:val="006B53A0"/>
    <w:rsid w:val="007C4054"/>
    <w:rsid w:val="008A1AAC"/>
    <w:rsid w:val="009360C3"/>
    <w:rsid w:val="0097207F"/>
    <w:rsid w:val="009A4ADB"/>
    <w:rsid w:val="009C597E"/>
    <w:rsid w:val="009F359E"/>
    <w:rsid w:val="00A8668B"/>
    <w:rsid w:val="00AA4C6F"/>
    <w:rsid w:val="00AF7B96"/>
    <w:rsid w:val="00B61633"/>
    <w:rsid w:val="00C65B52"/>
    <w:rsid w:val="00C72FBE"/>
    <w:rsid w:val="00CD1410"/>
    <w:rsid w:val="00CD2DEA"/>
    <w:rsid w:val="00D62942"/>
    <w:rsid w:val="00D95054"/>
    <w:rsid w:val="00DC0279"/>
    <w:rsid w:val="00E0501C"/>
    <w:rsid w:val="00E33B3A"/>
    <w:rsid w:val="00E62CB7"/>
    <w:rsid w:val="00E83E5E"/>
    <w:rsid w:val="00E9353F"/>
    <w:rsid w:val="00EB2058"/>
    <w:rsid w:val="00ED6842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5F5F8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2148</Words>
  <Characters>12249</Characters>
  <Application>Microsoft Office Word</Application>
  <DocSecurity>0</DocSecurity>
  <Lines>102</Lines>
  <Paragraphs>28</Paragraphs>
  <ScaleCrop>false</ScaleCrop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44</cp:revision>
  <dcterms:created xsi:type="dcterms:W3CDTF">2017-03-17T10:55:00Z</dcterms:created>
  <dcterms:modified xsi:type="dcterms:W3CDTF">2017-03-21T08:36:00Z</dcterms:modified>
</cp:coreProperties>
</file>