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End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970CED">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970CED">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970CED">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asciiTheme="minorHAnsi" w:eastAsiaTheme="minorEastAsia" w:hAnsiTheme="minorHAnsi" w:cstheme="minorBidi" w:hint="eastAsia"/>
          <w:noProof/>
          <w:color w:val="auto"/>
          <w:sz w:val="21"/>
        </w:rPr>
        <mc:AlternateContent>
          <mc:Choice Requires="wps">
            <w:drawing>
              <wp:anchor distT="0" distB="0" distL="114300" distR="114300" simplePos="0" relativeHeight="251692032" behindDoc="0" locked="0" layoutInCell="1" allowOverlap="1" wp14:anchorId="03B258E2" wp14:editId="6C089497">
                <wp:simplePos x="0" y="0"/>
                <wp:positionH relativeFrom="margin">
                  <wp:posOffset>-1829</wp:posOffset>
                </wp:positionH>
                <wp:positionV relativeFrom="page">
                  <wp:posOffset>4169664</wp:posOffset>
                </wp:positionV>
                <wp:extent cx="5252085" cy="21590"/>
                <wp:effectExtent l="0" t="0" r="24765" b="35560"/>
                <wp:wrapNone/>
                <wp:docPr id="3" name="直接连接符 3"/>
                <wp:cNvGraphicFramePr/>
                <a:graphic xmlns:a="http://schemas.openxmlformats.org/drawingml/2006/main">
                  <a:graphicData uri="http://schemas.microsoft.com/office/word/2010/wordprocessingShape">
                    <wps:wsp>
                      <wps:cNvCnPr/>
                      <wps:spPr>
                        <a:xfrm flipV="1">
                          <a:off x="0" y="0"/>
                          <a:ext cx="5252085" cy="2159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AD1FF1" id="直接连接符 3"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328.3pt" to="413.4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" strokecolor="windowText" strokeweight="1pt">
                <v:stroke joinstyle="miter"/>
                <w10:wrap anchorx="margin" anchory="page"/>
              </v:line>
            </w:pict>
          </mc:Fallback>
        </mc:AlternateConten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F94E8D">
        <w:rPr>
          <w:rFonts w:eastAsiaTheme="minorEastAsia" w:hint="eastAsia"/>
          <w:b/>
          <w:color w:val="FF0000"/>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 Manager</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w:t>
      </w:r>
      <w:bookmarkStart w:id="0" w:name="_GoBack"/>
      <w:bookmarkEnd w:id="0"/>
      <w:r w:rsidR="00E13E8B">
        <w:rPr>
          <w:rFonts w:eastAsiaTheme="minorEastAsia" w:hint="eastAsia"/>
        </w:rPr>
        <w:t>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B06C6F" w:rsidRDefault="0071581A">
      <w:pPr>
        <w:numPr>
          <w:ilvl w:val="0"/>
          <w:numId w:val="3"/>
        </w:numPr>
        <w:spacing w:after="124"/>
        <w:ind w:right="6" w:hanging="360"/>
      </w:pPr>
      <w:r>
        <w:rPr>
          <w:b/>
        </w:rPr>
        <w:t xml:space="preserve">Ease of Adoption </w:t>
      </w:r>
      <w:r>
        <w:t>— Allow an application vendor to make their application TWAIN</w:t>
      </w:r>
      <w:r w:rsidR="00250130">
        <w:t xml:space="preserve"> </w:t>
      </w:r>
      <w:r>
        <w:t>compliant with a reasonable amount of development and testing effort. The basic features of TWAIN should be implemented just by making modest changes to the application. To take advantage of a more complete set of functionality and control capabilities, more development effort should be anticipated.</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B06C6F" w:rsidRDefault="0071581A">
      <w:pPr>
        <w:numPr>
          <w:ilvl w:val="0"/>
          <w:numId w:val="3"/>
        </w:numPr>
        <w:spacing w:after="128" w:line="242" w:lineRule="auto"/>
        <w:ind w:right="6" w:hanging="360"/>
      </w:pPr>
      <w:r>
        <w:rPr>
          <w:b/>
        </w:rPr>
        <w:t>Integration</w:t>
      </w:r>
      <w:r>
        <w:t xml:space="preserve"> — Key elements of the TWAIN implementation “belong” in the operating system. The agreement between Microsoft and the TWAIN Working Group indicates that this integration into the operating system is beginning. TWAIN must be implemented to encourage backward compatibility (extensibility) and smooth migration into the operating </w:t>
      </w:r>
      <w:r>
        <w:lastRenderedPageBreak/>
        <w:t xml:space="preserve">system. An implementation that minimizes the use of platform-specific mechanisms will have enhanced longevity and adoptability. </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Pr>
          <w:rFonts w:eastAsiaTheme="minorEastAsia"/>
          <w:b/>
        </w:rPr>
        <w:t xml:space="preserve"> </w:t>
      </w:r>
    </w:p>
    <w:p w:rsidR="00B06C6F" w:rsidRDefault="0071581A">
      <w:pPr>
        <w:numPr>
          <w:ilvl w:val="0"/>
          <w:numId w:val="3"/>
        </w:numPr>
        <w:spacing w:after="124"/>
        <w:ind w:right="6" w:hanging="360"/>
      </w:pPr>
      <w:r>
        <w:rPr>
          <w:b/>
        </w:rPr>
        <w:t xml:space="preserve">Easy Application &lt;-&gt; Source Interconnect </w:t>
      </w:r>
      <w:r>
        <w:t>— A straight-forward Source identification and selection mechanism will be supplied. The application will drive this mechanism through a simple API. This mechanism will also establish the data and control links between the application and Source. It will support capability and configuration communication and negotiation between the application and Source.</w:t>
      </w:r>
    </w:p>
    <w:p w:rsidR="00B06C6F" w:rsidRDefault="0071581A">
      <w:pPr>
        <w:numPr>
          <w:ilvl w:val="0"/>
          <w:numId w:val="3"/>
        </w:numPr>
        <w:spacing w:after="4920"/>
        <w:ind w:right="6" w:hanging="360"/>
      </w:pPr>
      <w:r>
        <w:rPr>
          <w:b/>
        </w:rPr>
        <w:t>Encapsulated Human Interface</w:t>
      </w:r>
      <w:r>
        <w:t xml:space="preserve"> — A device-native user interface will be required in each Source. The application can optionally override this native user interface while still using the Source to control the physical device.</w:t>
      </w:r>
    </w:p>
    <w:p w:rsidR="00B06C6F" w:rsidRDefault="0071581A">
      <w:pPr>
        <w:spacing w:after="549" w:line="265" w:lineRule="auto"/>
        <w:ind w:left="-5" w:right="0"/>
      </w:pPr>
      <w:r>
        <w:rPr>
          <w:rFonts w:ascii="Arial" w:eastAsia="Arial" w:hAnsi="Arial" w:cs="Arial"/>
          <w:i/>
          <w:sz w:val="16"/>
        </w:rPr>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Technical Overview</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TWAIN Architecture. . . . . . . . . . . . . . . . . . . . . . . . . . . . . . . . . . . . . . . . . . . . . . . . . . . . . . . . . . . . . . . 2-1</w:t>
      </w:r>
    </w:p>
    <w:p w:rsidR="00B06C6F" w:rsidRDefault="0071581A">
      <w:pPr>
        <w:spacing w:after="4" w:line="308" w:lineRule="auto"/>
        <w:ind w:left="1129" w:right="-58"/>
        <w:jc w:val="center"/>
      </w:pPr>
      <w:r>
        <w:t>TWAIN User Interface . . . . . . . . . . . . . . . . . . . . . . . . . . . . . . . . . . . . . . . . . . . . . . . . . . . . . . . . . . . . . 2-4 Communication Between the Elements of TWAIN . . . . . . . . . . . . . . . . . . . . . . . . . . . . . . . . . . . . . 2-5 Using Operation Triplets . . . . . . . . . . . . . . . . . . . . . . . . . . . . . . . . . . . . . . . . . . . . . . . . . . . . . . . . . . 2-10</w:t>
      </w:r>
    </w:p>
    <w:p w:rsidR="00B06C6F" w:rsidRDefault="0071581A">
      <w:pPr>
        <w:spacing w:after="100" w:line="308" w:lineRule="auto"/>
        <w:ind w:left="1129" w:right="244"/>
        <w:jc w:val="center"/>
      </w:pPr>
      <w:r>
        <w:t>The State-Based Protocol . . . . . . . . . . . . . . . . . . . . . . . . . . . . . . . . . . . . . . . . . . . . . . . . . . . . . . . . . . 2-11 Capabilities. . . . . . . . . . . . . . . . . . . . . . . . . . . . . . . . . . . . . . . . . . . . . . . . . . . . . . . . . . . . . . . . . . . . . . 2-14</w:t>
      </w:r>
    </w:p>
    <w:p w:rsidR="00B06C6F" w:rsidRDefault="0071581A">
      <w:pPr>
        <w:spacing w:after="518"/>
        <w:ind w:right="6"/>
      </w:pPr>
      <w:r>
        <w:t>The TWAIN protocol and API are easiest to understand when you see the overall picture. This chapter provides a technical overview of TWAIN.</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Architecture</w:t>
      </w:r>
    </w:p>
    <w:p w:rsidR="00B06C6F" w:rsidRDefault="0071581A">
      <w:pPr>
        <w:spacing w:after="226"/>
        <w:ind w:right="6"/>
      </w:pPr>
      <w:r>
        <w:t>The transfer of data is made possible by three software elements that work together in TWAIN: the application, the Source Manager, and the Source.</w:t>
      </w:r>
    </w:p>
    <w:p w:rsidR="00B06C6F" w:rsidRDefault="0071581A">
      <w:pPr>
        <w:spacing w:after="244"/>
        <w:ind w:right="6"/>
      </w:pPr>
      <w:r>
        <w:t>These elements use the architecture of TWAIN to communicate. The TWAIN architecture consists of four layers:</w:t>
      </w:r>
    </w:p>
    <w:p w:rsidR="00B06C6F" w:rsidRDefault="0071581A">
      <w:pPr>
        <w:numPr>
          <w:ilvl w:val="0"/>
          <w:numId w:val="4"/>
        </w:numPr>
        <w:spacing w:after="118"/>
        <w:ind w:right="6" w:hanging="360"/>
      </w:pPr>
      <w:r>
        <w:t>Application</w:t>
      </w:r>
    </w:p>
    <w:p w:rsidR="00B06C6F" w:rsidRDefault="0071581A">
      <w:pPr>
        <w:numPr>
          <w:ilvl w:val="0"/>
          <w:numId w:val="4"/>
        </w:numPr>
        <w:spacing w:after="118"/>
        <w:ind w:right="6" w:hanging="360"/>
      </w:pPr>
      <w:r>
        <w:t>Protocol</w:t>
      </w:r>
    </w:p>
    <w:p w:rsidR="00B06C6F" w:rsidRDefault="0071581A">
      <w:pPr>
        <w:numPr>
          <w:ilvl w:val="0"/>
          <w:numId w:val="4"/>
        </w:numPr>
        <w:spacing w:after="118"/>
        <w:ind w:right="6" w:hanging="360"/>
      </w:pPr>
      <w:r>
        <w:t>Acquisition</w:t>
      </w:r>
    </w:p>
    <w:p w:rsidR="00B06C6F" w:rsidRDefault="0071581A">
      <w:pPr>
        <w:numPr>
          <w:ilvl w:val="0"/>
          <w:numId w:val="4"/>
        </w:numPr>
        <w:ind w:right="6" w:hanging="360"/>
      </w:pPr>
      <w:r>
        <w:t xml:space="preserve">Device </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970CED">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134"/>
        <w:ind w:left="4352" w:right="6" w:hanging="4352"/>
      </w:pPr>
      <w:r>
        <w:rPr>
          <w:rFonts w:ascii="Courier New" w:eastAsia="Courier New" w:hAnsi="Courier New" w:cs="Courier New"/>
          <w:color w:val="00007F"/>
        </w:rPr>
        <w:t>CAP_AUTOMATICSENSEMEDIUM</w:t>
      </w:r>
      <w:r>
        <w:rPr>
          <w:rFonts w:ascii="Courier New" w:eastAsia="Courier New" w:hAnsi="Courier New" w:cs="Courier New"/>
          <w:color w:val="00007F"/>
        </w:rPr>
        <w:tab/>
      </w:r>
      <w:r>
        <w:t xml:space="preserve">Configures a Source to check for paper in the Automatic Document Feeder. </w:t>
      </w:r>
    </w:p>
    <w:p w:rsidR="00B06C6F" w:rsidRDefault="0071581A">
      <w:pPr>
        <w:tabs>
          <w:tab w:val="center" w:pos="5389"/>
        </w:tabs>
        <w:spacing w:after="129" w:line="263" w:lineRule="auto"/>
        <w:ind w:left="0" w:right="0" w:firstLine="0"/>
      </w:pPr>
      <w:r>
        <w:rPr>
          <w:rFonts w:ascii="Courier New" w:eastAsia="Courier New" w:hAnsi="Courier New" w:cs="Courier New"/>
          <w:color w:val="00007F"/>
        </w:rPr>
        <w:t>ICAP_AUTODISCARDBLANKPAGES</w:t>
      </w:r>
      <w:r>
        <w:rPr>
          <w:rFonts w:ascii="Courier New" w:eastAsia="Courier New" w:hAnsi="Courier New" w:cs="Courier New"/>
          <w:color w:val="00007F"/>
        </w:rPr>
        <w:tab/>
      </w:r>
      <w:r>
        <w:t>Discards blank pages.</w:t>
      </w:r>
    </w:p>
    <w:p w:rsidR="00B06C6F" w:rsidRDefault="0071581A">
      <w:pPr>
        <w:tabs>
          <w:tab w:val="center" w:pos="6412"/>
        </w:tabs>
        <w:spacing w:after="137"/>
        <w:ind w:left="0" w:right="0" w:firstLine="0"/>
      </w:pPr>
      <w:r>
        <w:rPr>
          <w:rFonts w:ascii="Courier New" w:eastAsia="Courier New" w:hAnsi="Courier New" w:cs="Courier New"/>
          <w:color w:val="00007F"/>
        </w:rPr>
        <w:t>ICAP_AUTOMATICBORDERDETECTION</w:t>
      </w:r>
      <w:r>
        <w:rPr>
          <w:rFonts w:ascii="Courier New" w:eastAsia="Courier New" w:hAnsi="Courier New" w:cs="Courier New"/>
          <w:color w:val="00007F"/>
        </w:rPr>
        <w:tab/>
      </w:r>
      <w:r>
        <w:t>Turns automatic border detection on and off.</w:t>
      </w:r>
    </w:p>
    <w:p w:rsidR="00B06C6F" w:rsidRDefault="0071581A">
      <w:pPr>
        <w:tabs>
          <w:tab w:val="center" w:pos="7091"/>
        </w:tabs>
        <w:spacing w:after="10"/>
        <w:ind w:left="0" w:right="0" w:firstLine="0"/>
      </w:pPr>
      <w:r>
        <w:rPr>
          <w:rFonts w:ascii="Courier New" w:eastAsia="Courier New" w:hAnsi="Courier New" w:cs="Courier New"/>
          <w:color w:val="00007F"/>
        </w:rPr>
        <w:t>ICAP_AUTOMATICCOLORENABLED</w:t>
      </w:r>
      <w:r>
        <w:rPr>
          <w:rFonts w:ascii="Courier New" w:eastAsia="Courier New" w:hAnsi="Courier New" w:cs="Courier New"/>
          <w:color w:val="00007F"/>
        </w:rPr>
        <w:tab/>
      </w:r>
      <w:r>
        <w:t xml:space="preserve">Detects the pixel type of the image and returns either a color </w:t>
      </w:r>
    </w:p>
    <w:p w:rsidR="00B06C6F" w:rsidRDefault="0071581A">
      <w:pPr>
        <w:spacing w:after="4" w:line="249" w:lineRule="auto"/>
        <w:ind w:left="2276" w:right="0"/>
        <w:jc w:val="center"/>
      </w:pPr>
      <w:r>
        <w:t xml:space="preserve">image or a non-color image specified by </w:t>
      </w:r>
    </w:p>
    <w:p w:rsidR="00B06C6F" w:rsidRDefault="0071581A">
      <w:pPr>
        <w:spacing w:after="136" w:line="263" w:lineRule="auto"/>
        <w:ind w:left="4362" w:right="10"/>
      </w:pPr>
      <w:r>
        <w:rPr>
          <w:rFonts w:ascii="Courier New" w:eastAsia="Courier New" w:hAnsi="Courier New" w:cs="Courier New"/>
        </w:rPr>
        <w:t>ICAP_AUTOMATICCOLORNONCOLORPIXELTYPE.</w:t>
      </w:r>
    </w:p>
    <w:p w:rsidR="00B06C6F" w:rsidRDefault="0071581A">
      <w:pPr>
        <w:spacing w:after="129"/>
        <w:ind w:left="4352" w:right="6" w:hanging="4352"/>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w:lastRenderedPageBreak/>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lastRenderedPageBreak/>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lastRenderedPageBreak/>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lastRenderedPageBreak/>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F629C4">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F629C4">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F629C4">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F629C4">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F629C4">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F629C4">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F629C4">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F629C4">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970CED">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834FF6" w:rsidRDefault="00834FF6">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834FF6" w:rsidRDefault="00834FF6">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834FF6" w:rsidRDefault="00834FF6">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834FF6" w:rsidRDefault="00834FF6">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834FF6" w:rsidRDefault="00834FF6">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834FF6" w:rsidRDefault="00834FF6">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834FF6" w:rsidRDefault="00834FF6">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834FF6" w:rsidRDefault="00834FF6">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834FF6" w:rsidRDefault="00834FF6">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834FF6" w:rsidRDefault="00834FF6">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834FF6" w:rsidRDefault="00834FF6">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834FF6" w:rsidRDefault="00834FF6">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834FF6" w:rsidRDefault="00834FF6">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834FF6" w:rsidRDefault="00834FF6">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834FF6" w:rsidRDefault="00834FF6">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834FF6" w:rsidRDefault="00834FF6">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834FF6" w:rsidRDefault="00834FF6">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834FF6" w:rsidRDefault="00834FF6">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834FF6" w:rsidRDefault="00834FF6">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834FF6" w:rsidRDefault="00834FF6">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834FF6" w:rsidRDefault="00834FF6">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834FF6" w:rsidRDefault="00834FF6">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834FF6" w:rsidRDefault="00834FF6">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834FF6" w:rsidRDefault="00834FF6">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834FF6" w:rsidRDefault="00834FF6">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834FF6" w:rsidRDefault="00834FF6">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834FF6" w:rsidRDefault="00834FF6">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834FF6" w:rsidRDefault="00834FF6">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834FF6" w:rsidRDefault="00834FF6">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834FF6" w:rsidRDefault="00834FF6">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834FF6" w:rsidRDefault="00834FF6">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834FF6" w:rsidRDefault="00834FF6">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834FF6" w:rsidRDefault="00834FF6">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834FF6" w:rsidRDefault="00834FF6">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834FF6" w:rsidRDefault="00834FF6">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834FF6" w:rsidRDefault="00834FF6">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834FF6" w:rsidRDefault="00834FF6">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834FF6" w:rsidRDefault="00834FF6">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834FF6" w:rsidRDefault="00834FF6">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970CED">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CED" w:rsidRDefault="00970CED">
      <w:pPr>
        <w:spacing w:after="0" w:line="240" w:lineRule="auto"/>
      </w:pPr>
      <w:r>
        <w:separator/>
      </w:r>
    </w:p>
  </w:endnote>
  <w:endnote w:type="continuationSeparator" w:id="0">
    <w:p w:rsidR="00970CED" w:rsidRDefault="00970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E13E8B" w:rsidRPr="00E13E8B">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E13E8B" w:rsidRPr="00E13E8B">
      <w:rPr>
        <w:rFonts w:ascii="Arial" w:eastAsia="Arial" w:hAnsi="Arial" w:cs="Arial"/>
        <w:i/>
        <w:noProof/>
        <w:sz w:val="16"/>
      </w:rPr>
      <w:t>9</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E13E8B" w:rsidRPr="00E13E8B">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E13E8B" w:rsidRPr="00E13E8B">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E13E8B" w:rsidRPr="00E13E8B">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E13E8B" w:rsidRPr="00E13E8B">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E13E8B" w:rsidRPr="00E13E8B">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E13E8B" w:rsidRPr="00E13E8B">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E13E8B" w:rsidRPr="00E13E8B">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E13E8B" w:rsidRPr="00E13E8B">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E13E8B" w:rsidRPr="00E13E8B">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13E8B" w:rsidRPr="00E13E8B">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E13E8B" w:rsidRPr="00E13E8B">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13E8B" w:rsidRPr="00E13E8B">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E13E8B" w:rsidRPr="00E13E8B">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E13E8B" w:rsidRPr="00E13E8B">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E13E8B" w:rsidRPr="00E13E8B">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E13E8B" w:rsidRPr="00E13E8B">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E13E8B" w:rsidRPr="00E13E8B">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E13E8B" w:rsidRPr="00E13E8B">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E13E8B" w:rsidRPr="00E13E8B">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13E8B" w:rsidRPr="00E13E8B">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E13E8B" w:rsidRPr="00E13E8B">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13E8B" w:rsidRPr="00E13E8B">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E13E8B" w:rsidRPr="00E13E8B">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13E8B" w:rsidRPr="00E13E8B">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13E8B" w:rsidRPr="00E13E8B">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13E8B" w:rsidRPr="00E13E8B">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E13E8B" w:rsidRPr="00E13E8B">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E13E8B" w:rsidRPr="00E13E8B">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E13E8B" w:rsidRPr="00E13E8B">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E13E8B" w:rsidRPr="00E13E8B">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E13E8B" w:rsidRPr="00E13E8B">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E13E8B" w:rsidRPr="00E13E8B">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E13E8B" w:rsidRPr="00E13E8B">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fldChar w:fldCharType="begin"/>
    </w:r>
    <w:r>
      <w:instrText xml:space="preserve"> PAGE   \* MERGEFORMAT </w:instrText>
    </w:r>
    <w:r>
      <w:fldChar w:fldCharType="separate"/>
    </w:r>
    <w:r w:rsidR="00E13E8B" w:rsidRPr="00E13E8B">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E13E8B" w:rsidRPr="00E13E8B">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E13E8B" w:rsidRPr="00E13E8B">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E13E8B" w:rsidRPr="00E13E8B">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E13E8B" w:rsidRPr="00E13E8B">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CED" w:rsidRDefault="00970CED">
      <w:pPr>
        <w:tabs>
          <w:tab w:val="right" w:pos="10081"/>
        </w:tabs>
        <w:spacing w:after="0" w:line="259" w:lineRule="auto"/>
        <w:ind w:left="0" w:right="0" w:firstLine="0"/>
      </w:pPr>
      <w:r>
        <w:separator/>
      </w:r>
    </w:p>
  </w:footnote>
  <w:footnote w:type="continuationSeparator" w:id="0">
    <w:p w:rsidR="00970CED" w:rsidRDefault="00970CED">
      <w:pPr>
        <w:tabs>
          <w:tab w:val="right" w:pos="10081"/>
        </w:tabs>
        <w:spacing w:after="0" w:line="259" w:lineRule="auto"/>
        <w:ind w:left="0" w:right="0" w:firstLine="0"/>
      </w:pPr>
      <w:r>
        <w:continuationSeparator/>
      </w:r>
    </w:p>
  </w:footnote>
  <w:footnote w:id="1">
    <w:p w:rsidR="00834FF6" w:rsidRDefault="00834FF6">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48"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82190"/>
    <w:rsid w:val="00122A12"/>
    <w:rsid w:val="001258EF"/>
    <w:rsid w:val="0014017A"/>
    <w:rsid w:val="001A4601"/>
    <w:rsid w:val="001C48A8"/>
    <w:rsid w:val="001C6EC9"/>
    <w:rsid w:val="001D1F4A"/>
    <w:rsid w:val="00205FB5"/>
    <w:rsid w:val="00250130"/>
    <w:rsid w:val="00253558"/>
    <w:rsid w:val="002D147D"/>
    <w:rsid w:val="00324147"/>
    <w:rsid w:val="00326115"/>
    <w:rsid w:val="00333461"/>
    <w:rsid w:val="00393014"/>
    <w:rsid w:val="003B4FA6"/>
    <w:rsid w:val="00430AC8"/>
    <w:rsid w:val="00527A34"/>
    <w:rsid w:val="005B1E7E"/>
    <w:rsid w:val="006373C6"/>
    <w:rsid w:val="00673B31"/>
    <w:rsid w:val="00706E2F"/>
    <w:rsid w:val="0071581A"/>
    <w:rsid w:val="0077352E"/>
    <w:rsid w:val="00834FF6"/>
    <w:rsid w:val="008545D0"/>
    <w:rsid w:val="008A5092"/>
    <w:rsid w:val="008A6810"/>
    <w:rsid w:val="009353E1"/>
    <w:rsid w:val="009521E4"/>
    <w:rsid w:val="00970CED"/>
    <w:rsid w:val="009B5CBC"/>
    <w:rsid w:val="009B6E26"/>
    <w:rsid w:val="009D56E8"/>
    <w:rsid w:val="009E5D39"/>
    <w:rsid w:val="00A0603F"/>
    <w:rsid w:val="00A071F7"/>
    <w:rsid w:val="00A26460"/>
    <w:rsid w:val="00A75392"/>
    <w:rsid w:val="00AA0DD6"/>
    <w:rsid w:val="00AE357E"/>
    <w:rsid w:val="00B06C6F"/>
    <w:rsid w:val="00B277AD"/>
    <w:rsid w:val="00B35726"/>
    <w:rsid w:val="00BB0D1F"/>
    <w:rsid w:val="00C074EB"/>
    <w:rsid w:val="00C31808"/>
    <w:rsid w:val="00CA6B53"/>
    <w:rsid w:val="00D62D18"/>
    <w:rsid w:val="00D70FBA"/>
    <w:rsid w:val="00E13E8B"/>
    <w:rsid w:val="00E26792"/>
    <w:rsid w:val="00E83B59"/>
    <w:rsid w:val="00E845DF"/>
    <w:rsid w:val="00EC50AD"/>
    <w:rsid w:val="00F138F4"/>
    <w:rsid w:val="00F36A04"/>
    <w:rsid w:val="00F629C4"/>
    <w:rsid w:val="00F94E8D"/>
    <w:rsid w:val="00F97317"/>
    <w:rsid w:val="00F9785B"/>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2D0BF"/>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746</Pages>
  <Words>162056</Words>
  <Characters>923723</Characters>
  <Application>Microsoft Office Word</Application>
  <DocSecurity>0</DocSecurity>
  <Lines>7697</Lines>
  <Paragraphs>2167</Paragraphs>
  <ScaleCrop>false</ScaleCrop>
  <Company/>
  <LinksUpToDate>false</LinksUpToDate>
  <CharactersWithSpaces>1083612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litong</cp:lastModifiedBy>
  <cp:revision>56</cp:revision>
  <dcterms:created xsi:type="dcterms:W3CDTF">2017-03-21T08:17:00Z</dcterms:created>
  <dcterms:modified xsi:type="dcterms:W3CDTF">2017-03-27T13:44:00Z</dcterms:modified>
</cp:coreProperties>
</file>