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3A1" w:rsidRPr="008566C4" w:rsidRDefault="009863A1" w:rsidP="009863A1">
      <w:pPr>
        <w:pStyle w:val="Heading3"/>
        <w:numPr>
          <w:ilvl w:val="2"/>
          <w:numId w:val="1"/>
        </w:numPr>
        <w:tabs>
          <w:tab w:val="clear" w:pos="0"/>
        </w:tabs>
        <w:spacing w:before="480"/>
      </w:pPr>
      <w:r w:rsidRPr="008566C4">
        <w:t>High</w:t>
      </w:r>
      <w:r>
        <w:t>-</w:t>
      </w:r>
      <w:r w:rsidRPr="008566C4">
        <w:t>Risk Materials</w:t>
      </w:r>
    </w:p>
    <w:p w:rsidR="009863A1" w:rsidRPr="00BA3B03" w:rsidRDefault="009863A1" w:rsidP="004120CF">
      <w:pPr>
        <w:spacing w:line="276" w:lineRule="auto"/>
        <w:jc w:val="both"/>
      </w:pPr>
      <w:r w:rsidRPr="00BA3B03">
        <w:t xml:space="preserve">Components, units, or third-party </w:t>
      </w:r>
      <w:r>
        <w:t>good</w:t>
      </w:r>
      <w:r w:rsidRPr="00BA3B03">
        <w:t xml:space="preserve">s used in the </w:t>
      </w:r>
      <w:r>
        <w:t xml:space="preserve">making of the </w:t>
      </w:r>
      <w:r w:rsidRPr="00BA3B03">
        <w:t>product described herein are NOT fault-tolerant and are NOT designed, manufactured, or intended for use as online control equipment in the following hazardous environments requiring fail-safe controls: operation</w:t>
      </w:r>
      <w:r>
        <w:t>s</w:t>
      </w:r>
      <w:r w:rsidRPr="00BA3B03">
        <w:t xml:space="preserve"> of Nuclear Facilities, Aircraft Navigation or Aircraft Communication Systems, Air Traffic Control, Life Support, or Weapons Systems (</w:t>
      </w:r>
      <w:r>
        <w:t>“</w:t>
      </w:r>
      <w:r w:rsidRPr="00BA3B03">
        <w:t>High</w:t>
      </w:r>
      <w:r>
        <w:t>-</w:t>
      </w:r>
      <w:r w:rsidRPr="00BA3B03">
        <w:t>Risk Activities"). Telit and its supplier(s) specifically disclaim any expressed or implied warra</w:t>
      </w:r>
      <w:r w:rsidRPr="00145DAB">
        <w:t>nty of fitness</w:t>
      </w:r>
      <w:r>
        <w:t xml:space="preserve"> </w:t>
      </w:r>
      <w:r w:rsidRPr="00BA3B03">
        <w:t>eligibility for such High</w:t>
      </w:r>
      <w:r>
        <w:t>-</w:t>
      </w:r>
      <w:r w:rsidRPr="00BA3B03">
        <w:t>Risk Activities.</w:t>
      </w:r>
    </w:p>
    <w:p w:rsidR="009863A1" w:rsidRDefault="009863A1" w:rsidP="005567A2">
      <w:pPr>
        <w:sectPr w:rsidR="009863A1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C069B0" w:rsidRDefault="00C069B0"/>
    <w:sectPr w:rsidR="00C0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978FB"/>
    <w:multiLevelType w:val="multilevel"/>
    <w:tmpl w:val="C4D84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  <w:i w:val="0"/>
        <w:iCs w:val="0"/>
        <w:color w:val="96989A"/>
      </w:rPr>
    </w:lvl>
    <w:lvl w:ilvl="3">
      <w:start w:val="1"/>
      <w:numFmt w:val="decimal"/>
      <w:pStyle w:val="Heading5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A1"/>
    <w:rsid w:val="009863A1"/>
    <w:rsid w:val="00C0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H3,Telit3,Telit31,Telit32,Telit33,Telit34,Telit35,Telit36,Telit37,Telit38,Telit39,Telit310,Telit311,Telit312,Telit313,Telit314,Telit315,Telit316"/>
    <w:basedOn w:val="Normal"/>
    <w:next w:val="Normal"/>
    <w:link w:val="Heading3Char"/>
    <w:autoRedefine/>
    <w:uiPriority w:val="9"/>
    <w:unhideWhenUsed/>
    <w:qFormat/>
    <w:rsid w:val="009863A1"/>
    <w:pPr>
      <w:keepNext/>
      <w:keepLines/>
      <w:tabs>
        <w:tab w:val="left" w:pos="0"/>
      </w:tabs>
      <w:spacing w:before="240" w:after="120" w:line="240" w:lineRule="auto"/>
      <w:outlineLvl w:val="2"/>
    </w:pPr>
    <w:rPr>
      <w:rFonts w:ascii="DIN-Medium" w:eastAsiaTheme="majorEastAsia" w:hAnsi="DIN-Medium" w:cstheme="majorBidi"/>
      <w:bCs/>
      <w:color w:val="B1B6BE"/>
      <w:sz w:val="28"/>
      <w:szCs w:val="24"/>
    </w:rPr>
  </w:style>
  <w:style w:type="paragraph" w:styleId="Heading5">
    <w:name w:val="heading 5"/>
    <w:aliases w:val="Telit5,Telit51,Telit52,Telit53,Telit54,Telit55,Telit56,Telit57,Telit58,Telit59,Telit510,Telit511,Telit512,Telit513,Telit514,Telit515,Telit516"/>
    <w:basedOn w:val="Normal"/>
    <w:next w:val="Normal"/>
    <w:link w:val="Heading5Char"/>
    <w:autoRedefine/>
    <w:uiPriority w:val="9"/>
    <w:unhideWhenUsed/>
    <w:qFormat/>
    <w:rsid w:val="009863A1"/>
    <w:pPr>
      <w:keepNext/>
      <w:keepLines/>
      <w:numPr>
        <w:ilvl w:val="3"/>
        <w:numId w:val="1"/>
      </w:numPr>
      <w:spacing w:before="120" w:after="120" w:line="240" w:lineRule="auto"/>
      <w:outlineLvl w:val="4"/>
    </w:pPr>
    <w:rPr>
      <w:rFonts w:ascii="DIN-Medium" w:eastAsiaTheme="majorEastAsia" w:hAnsi="DIN-Medium" w:cstheme="majorBidi"/>
      <w:color w:val="B1B6B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H3 Char,Telit3 Char,Telit31 Char,Telit32 Char,Telit33 Char,Telit34 Char,Telit35 Char,Telit36 Char,Telit37 Char,Telit38 Char,Telit39 Char,Telit310 Char,Telit311 Char,Telit312 Char,Telit313 Char,Telit314 Char,Telit315 Char,Telit316 Char"/>
    <w:basedOn w:val="DefaultParagraphFont"/>
    <w:link w:val="Heading3"/>
    <w:uiPriority w:val="9"/>
    <w:rsid w:val="009863A1"/>
    <w:rPr>
      <w:rFonts w:ascii="DIN-Medium" w:eastAsiaTheme="majorEastAsia" w:hAnsi="DIN-Medium" w:cstheme="majorBidi"/>
      <w:bCs/>
      <w:color w:val="B1B6BE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3A1"/>
    <w:rPr>
      <w:rFonts w:ascii="DIN-Medium" w:eastAsiaTheme="majorEastAsia" w:hAnsi="DIN-Medium" w:cstheme="majorBidi"/>
      <w:color w:val="B1B6B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