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065" w:rsidRPr="00B13ABE" w:rsidRDefault="00767065" w:rsidP="00767065">
      <w:pPr>
        <w:pStyle w:val="Heading2"/>
        <w:numPr>
          <w:ilvl w:val="1"/>
          <w:numId w:val="1"/>
        </w:numPr>
        <w:spacing w:before="480"/>
      </w:pPr>
      <w:r w:rsidRPr="00B13ABE">
        <w:t>Symbol Conventions</w:t>
      </w:r>
    </w:p>
    <w:tbl>
      <w:tblPr>
        <w:tblW w:w="4856" w:type="pct"/>
        <w:tblBorders>
          <w:top w:val="single" w:sz="4" w:space="0" w:color="44546A" w:themeColor="text2"/>
          <w:bottom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1201"/>
        <w:gridCol w:w="7442"/>
      </w:tblGrid>
      <w:tr w:rsidR="00767065" w:rsidRPr="0002022B" w:rsidTr="00D04D16">
        <w:trPr>
          <w:cantSplit/>
        </w:trPr>
        <w:tc>
          <w:tcPr>
            <w:tcW w:w="695" w:type="pct"/>
            <w:vAlign w:val="center"/>
          </w:tcPr>
          <w:p w:rsidR="00767065" w:rsidRPr="0002022B" w:rsidRDefault="00767065" w:rsidP="00B4556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AE2D16" wp14:editId="3B04899F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-5080</wp:posOffset>
                  </wp:positionV>
                  <wp:extent cx="419100" cy="419100"/>
                  <wp:effectExtent l="0" t="0" r="0" b="0"/>
                  <wp:wrapNone/>
                  <wp:docPr id="7" name="Graphic 7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05" w:type="pct"/>
            <w:vAlign w:val="center"/>
          </w:tcPr>
          <w:p w:rsidR="00767065" w:rsidRPr="0002022B" w:rsidRDefault="00767065" w:rsidP="00B4556E">
            <w:r w:rsidRPr="0002022B">
              <w:rPr>
                <w:b/>
                <w:bCs/>
              </w:rPr>
              <w:t>Danger:</w:t>
            </w:r>
            <w:r w:rsidRPr="0002022B">
              <w:t xml:space="preserve"> This information MUST be followed or catastrophic equipment failure or personal injury may occur.</w:t>
            </w:r>
          </w:p>
        </w:tc>
      </w:tr>
    </w:tbl>
    <w:p w:rsidR="00767065" w:rsidRPr="0002022B" w:rsidRDefault="00767065" w:rsidP="00B4556E">
      <w:pPr>
        <w:pStyle w:val="Telitbankspcing"/>
      </w:pPr>
    </w:p>
    <w:tbl>
      <w:tblPr>
        <w:tblW w:w="4856" w:type="pct"/>
        <w:tblBorders>
          <w:top w:val="single" w:sz="4" w:space="0" w:color="44546A" w:themeColor="text2"/>
          <w:bottom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1143"/>
        <w:gridCol w:w="7500"/>
      </w:tblGrid>
      <w:tr w:rsidR="00767065" w:rsidRPr="0002022B" w:rsidTr="00D04D16">
        <w:trPr>
          <w:cantSplit/>
        </w:trPr>
        <w:tc>
          <w:tcPr>
            <w:tcW w:w="661" w:type="pct"/>
            <w:vAlign w:val="center"/>
          </w:tcPr>
          <w:p w:rsidR="00767065" w:rsidRPr="0002022B" w:rsidRDefault="00767065" w:rsidP="00B4556E">
            <w:bookmarkStart w:id="0" w:name="_Hlk59023652"/>
            <w:r w:rsidRPr="0002022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20706E" wp14:editId="4F85F35E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24765</wp:posOffset>
                  </wp:positionV>
                  <wp:extent cx="519430" cy="5143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9" w:type="pct"/>
            <w:vAlign w:val="center"/>
          </w:tcPr>
          <w:p w:rsidR="00767065" w:rsidRDefault="00767065" w:rsidP="00B4556E">
            <w:pPr>
              <w:pStyle w:val="Telitbankspcing"/>
            </w:pPr>
          </w:p>
          <w:p w:rsidR="00767065" w:rsidRDefault="00767065" w:rsidP="00B4556E">
            <w:r w:rsidRPr="0002022B">
              <w:rPr>
                <w:b/>
                <w:bCs/>
              </w:rPr>
              <w:t>Warning:</w:t>
            </w:r>
            <w:r>
              <w:rPr>
                <w:b/>
                <w:bCs/>
              </w:rPr>
              <w:t xml:space="preserve"> </w:t>
            </w:r>
            <w:r w:rsidRPr="0002022B">
              <w:t>Alerts the user on important steps about the module integration.</w:t>
            </w:r>
          </w:p>
          <w:p w:rsidR="00767065" w:rsidRPr="0002022B" w:rsidRDefault="00767065" w:rsidP="00B4556E">
            <w:pPr>
              <w:pStyle w:val="Telitbankspcing"/>
            </w:pPr>
          </w:p>
        </w:tc>
      </w:tr>
      <w:bookmarkEnd w:id="0"/>
    </w:tbl>
    <w:p w:rsidR="00767065" w:rsidRPr="0002022B" w:rsidRDefault="00767065" w:rsidP="00B4556E">
      <w:pPr>
        <w:pStyle w:val="Telitbankspcing"/>
      </w:pPr>
    </w:p>
    <w:tbl>
      <w:tblPr>
        <w:tblW w:w="485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7537"/>
      </w:tblGrid>
      <w:tr w:rsidR="00767065" w:rsidRPr="0002022B" w:rsidTr="00D04D16">
        <w:trPr>
          <w:cantSplit/>
          <w:trHeight w:val="872"/>
        </w:trPr>
        <w:tc>
          <w:tcPr>
            <w:tcW w:w="64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767065" w:rsidRPr="0002022B" w:rsidRDefault="00767065" w:rsidP="00B4556E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1312" behindDoc="0" locked="0" layoutInCell="1" allowOverlap="1" wp14:anchorId="60D63AF5" wp14:editId="15A0B2BB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12065</wp:posOffset>
                  </wp:positionV>
                  <wp:extent cx="365760" cy="365760"/>
                  <wp:effectExtent l="0" t="0" r="0" b="0"/>
                  <wp:wrapNone/>
                  <wp:docPr id="14" name="Picture 14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767065" w:rsidRPr="0002022B" w:rsidRDefault="00767065" w:rsidP="00B4556E">
            <w:r w:rsidRPr="0002022B">
              <w:rPr>
                <w:b/>
                <w:bCs/>
              </w:rPr>
              <w:t>Note/Tip:</w:t>
            </w:r>
            <w:r w:rsidRPr="0002022B">
              <w:t xml:space="preserve"> Provides advice and suggestions that may be useful when integrating the module.</w:t>
            </w:r>
          </w:p>
        </w:tc>
      </w:tr>
    </w:tbl>
    <w:p w:rsidR="00767065" w:rsidRPr="0002022B" w:rsidRDefault="00767065" w:rsidP="00B4556E">
      <w:pPr>
        <w:pStyle w:val="Telitbankspcing"/>
      </w:pPr>
    </w:p>
    <w:tbl>
      <w:tblPr>
        <w:tblW w:w="4856" w:type="pct"/>
        <w:tblBorders>
          <w:top w:val="single" w:sz="4" w:space="0" w:color="274769"/>
          <w:bottom w:val="single" w:sz="4" w:space="0" w:color="274769"/>
        </w:tblBorders>
        <w:tblLook w:val="04A0" w:firstRow="1" w:lastRow="0" w:firstColumn="1" w:lastColumn="0" w:noHBand="0" w:noVBand="1"/>
      </w:tblPr>
      <w:tblGrid>
        <w:gridCol w:w="1181"/>
        <w:gridCol w:w="7462"/>
      </w:tblGrid>
      <w:tr w:rsidR="00767065" w:rsidRPr="0002022B" w:rsidTr="00D04D16">
        <w:trPr>
          <w:cantSplit/>
          <w:trHeight w:val="842"/>
        </w:trPr>
        <w:tc>
          <w:tcPr>
            <w:tcW w:w="683" w:type="pct"/>
            <w:vAlign w:val="center"/>
          </w:tcPr>
          <w:p w:rsidR="00767065" w:rsidRPr="0002022B" w:rsidRDefault="00767065" w:rsidP="006509D6">
            <w:pPr>
              <w:pStyle w:val="Header"/>
              <w:rPr>
                <w:noProof/>
                <w:lang w:val="de-DE"/>
              </w:rPr>
            </w:pPr>
            <w:r w:rsidRPr="0002022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F56EB9" wp14:editId="72A5914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25400</wp:posOffset>
                  </wp:positionV>
                  <wp:extent cx="469265" cy="434975"/>
                  <wp:effectExtent l="0" t="0" r="6985" b="3175"/>
                  <wp:wrapNone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581" b="96407" l="5278" r="98056">
                                        <a14:foregroundMark x1="43889" y1="37126" x2="30000" y2="54491"/>
                                        <a14:foregroundMark x1="30000" y1="54491" x2="28333" y2="79940"/>
                                        <a14:foregroundMark x1="28333" y1="79940" x2="48889" y2="91018"/>
                                        <a14:foregroundMark x1="48889" y1="91018" x2="69167" y2="91018"/>
                                        <a14:foregroundMark x1="69167" y1="91018" x2="71111" y2="68563"/>
                                        <a14:foregroundMark x1="71111" y1="68563" x2="52778" y2="54790"/>
                                        <a14:foregroundMark x1="52778" y1="54790" x2="48889" y2="53593"/>
                                        <a14:foregroundMark x1="48611" y1="27844" x2="72500" y2="72455"/>
                                        <a14:foregroundMark x1="72500" y1="72455" x2="72778" y2="72754"/>
                                        <a14:foregroundMark x1="59167" y1="39521" x2="72778" y2="66168"/>
                                        <a14:foregroundMark x1="85833" y1="89222" x2="71944" y2="79641"/>
                                        <a14:foregroundMark x1="83056" y1="93413" x2="72222" y2="91916"/>
                                        <a14:foregroundMark x1="43889" y1="58982" x2="43889" y2="58982"/>
                                        <a14:foregroundMark x1="38889" y1="63772" x2="35833" y2="77545"/>
                                        <a14:foregroundMark x1="30833" y1="43713" x2="23333" y2="60180"/>
                                        <a14:foregroundMark x1="29722" y1="47305" x2="26389" y2="56587"/>
                                        <a14:foregroundMark x1="56944" y1="45808" x2="74167" y2="60479"/>
                                        <a14:foregroundMark x1="74167" y1="60479" x2="77222" y2="69760"/>
                                        <a14:foregroundMark x1="90278" y1="88623" x2="65000" y2="79940"/>
                                        <a14:foregroundMark x1="65000" y1="79940" x2="35833" y2="52695"/>
                                        <a14:foregroundMark x1="64167" y1="41916" x2="73056" y2="58982"/>
                                        <a14:foregroundMark x1="65556" y1="37126" x2="75833" y2="62874"/>
                                        <a14:foregroundMark x1="47778" y1="77844" x2="49722" y2="76647"/>
                                        <a14:foregroundMark x1="51111" y1="77545" x2="51111" y2="80240"/>
                                        <a14:foregroundMark x1="49722" y1="71557" x2="41389" y2="85629"/>
                                        <a14:foregroundMark x1="41389" y1="68862" x2="41389" y2="68862"/>
                                        <a14:foregroundMark x1="28611" y1="85629" x2="28611" y2="85629"/>
                                        <a14:foregroundMark x1="5278" y1="92515" x2="5278" y2="92515"/>
                                        <a14:foregroundMark x1="89444" y1="93114" x2="89444" y2="93114"/>
                                        <a14:foregroundMark x1="34444" y1="64371" x2="42222" y2="73952"/>
                                        <a14:foregroundMark x1="28611" y1="47305" x2="24167" y2="54491"/>
                                        <a14:foregroundMark x1="65556" y1="35030" x2="75833" y2="55389"/>
                                        <a14:foregroundMark x1="91475" y1="89521" x2="89444" y2="93413"/>
                                        <a14:foregroundMark x1="91944" y1="88623" x2="91475" y2="89521"/>
                                        <a14:foregroundMark x1="93611" y1="88323" x2="93788" y2="88526"/>
                                        <a14:foregroundMark x1="98333" y1="95808" x2="98333" y2="95808"/>
                                        <a14:foregroundMark x1="90000" y1="88323" x2="94930" y2="93637"/>
                                        <a14:foregroundMark x1="95667" y1="89521" x2="96389" y2="93413"/>
                                        <a14:foregroundMark x1="95500" y1="88623" x2="95667" y2="89521"/>
                                        <a14:foregroundMark x1="95389" y1="88024" x2="95500" y2="88623"/>
                                        <a14:foregroundMark x1="95278" y1="87425" x2="95389" y2="88024"/>
                                        <a14:foregroundMark x1="93611" y1="88323" x2="93611" y2="88323"/>
                                        <a14:backgroundMark x1="95278" y1="87425" x2="95278" y2="87425"/>
                                        <a14:backgroundMark x1="96111" y1="88623" x2="96111" y2="88623"/>
                                        <a14:backgroundMark x1="96111" y1="89521" x2="96111" y2="89521"/>
                                        <a14:backgroundMark x1="98333" y1="97305" x2="98333" y2="97305"/>
                                        <a14:backgroundMark x1="97500" y1="95808" x2="97500" y2="95808"/>
                                        <a14:backgroundMark x1="97500" y1="95808" x2="97500" y2="95808"/>
                                        <a14:backgroundMark x1="97500" y1="97006" x2="97500" y2="97006"/>
                                        <a14:backgroundMark x1="95278" y1="88024" x2="95278" y2="88024"/>
                                        <a14:backgroundMark x1="98333" y1="96407" x2="98333" y2="96407"/>
                                        <a14:backgroundMark x1="97222" y1="97305" x2="97222" y2="97305"/>
                                        <a14:backgroundMark x1="97500" y1="96108" x2="96389" y2="96108"/>
                                        <a14:backgroundMark x1="98889" y1="96108" x2="98889" y2="96108"/>
                                        <a14:backgroundMark x1="98889" y1="96108" x2="99167" y2="9970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" cy="4349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7" w:type="pct"/>
            <w:vAlign w:val="center"/>
          </w:tcPr>
          <w:p w:rsidR="00767065" w:rsidRPr="0002022B" w:rsidRDefault="00767065" w:rsidP="00B4556E">
            <w:r w:rsidRPr="0002022B">
              <w:rPr>
                <w:b/>
                <w:bCs/>
              </w:rPr>
              <w:t>Electrostatic Discharge:</w:t>
            </w:r>
            <w:r w:rsidRPr="0002022B">
              <w:t xml:space="preserve"> Notifies the user to take proper grounding precautions before handling the product.</w:t>
            </w:r>
          </w:p>
        </w:tc>
      </w:tr>
    </w:tbl>
    <w:p w:rsidR="00767065" w:rsidRPr="00BA3B03" w:rsidRDefault="00767065" w:rsidP="009D4C2C">
      <w:pPr>
        <w:spacing w:line="276" w:lineRule="auto"/>
        <w:jc w:val="both"/>
      </w:pPr>
      <w:r w:rsidRPr="00BA3B03">
        <w:t>All dates are in ISO 8601 format,</w:t>
      </w:r>
      <w:r>
        <w:t xml:space="preserve"> that is</w:t>
      </w:r>
      <w:r w:rsidRPr="00BA3B03">
        <w:t xml:space="preserve"> YYYY-MM-DD.</w:t>
      </w:r>
    </w:p>
    <w:p w:rsidR="00767065" w:rsidRDefault="00767065" w:rsidP="005567A2">
      <w:pPr>
        <w:sectPr w:rsidR="00767065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  <w:bookmarkStart w:id="1" w:name="_Toc451780979"/>
      <w:bookmarkStart w:id="2" w:name="_Toc451781189"/>
      <w:bookmarkStart w:id="3" w:name="_Toc451781399"/>
      <w:bookmarkEnd w:id="1"/>
      <w:bookmarkEnd w:id="2"/>
      <w:bookmarkEnd w:id="3"/>
    </w:p>
    <w:p w:rsidR="00096699" w:rsidRDefault="00096699"/>
    <w:sectPr w:rsidR="0009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DIN-Light">
    <w:panose1 w:val="020003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5"/>
    <w:rsid w:val="00096699"/>
    <w:rsid w:val="0076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767065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767065"/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paragraph" w:styleId="Header">
    <w:name w:val="header"/>
    <w:basedOn w:val="Normal"/>
    <w:link w:val="HeaderChar"/>
    <w:autoRedefine/>
    <w:uiPriority w:val="99"/>
    <w:unhideWhenUsed/>
    <w:rsid w:val="00767065"/>
    <w:pPr>
      <w:tabs>
        <w:tab w:val="center" w:pos="4536"/>
        <w:tab w:val="right" w:pos="9072"/>
      </w:tabs>
      <w:spacing w:after="0" w:line="240" w:lineRule="auto"/>
    </w:pPr>
    <w:rPr>
      <w:rFonts w:ascii="DIN-Regular" w:eastAsiaTheme="minorHAnsi" w:hAnsi="DIN-Regular"/>
      <w:color w:val="262626" w:themeColor="text1" w:themeTint="D9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7065"/>
    <w:rPr>
      <w:rFonts w:ascii="DIN-Regular" w:eastAsiaTheme="minorHAnsi" w:hAnsi="DIN-Regular"/>
      <w:color w:val="262626" w:themeColor="text1" w:themeTint="D9"/>
      <w:sz w:val="24"/>
      <w:szCs w:val="24"/>
    </w:rPr>
  </w:style>
  <w:style w:type="paragraph" w:customStyle="1" w:styleId="Telitbankspcing">
    <w:name w:val="Telit bank spcing"/>
    <w:basedOn w:val="Normal"/>
    <w:autoRedefine/>
    <w:rsid w:val="00767065"/>
    <w:pPr>
      <w:spacing w:before="20" w:after="20" w:line="240" w:lineRule="auto"/>
    </w:pPr>
    <w:rPr>
      <w:rFonts w:ascii="DIN-Light" w:eastAsiaTheme="minorHAnsi" w:hAnsi="DIN-Light"/>
      <w:color w:val="262626" w:themeColor="text1" w:themeTint="D9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