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0" w:line="276" w:lineRule="auto"/>
      </w:pPr>
      <w:r>
        <w:t xml:space="preserve">Dear Editors of Biogerontology,</w:t>
      </w:r>
    </w:p>
    <w:p>
      <w:pPr>
        <w:spacing w:before="160" w:after="160" w:line="276" w:lineRule="auto"/>
      </w:pPr>
      <w:r>
        <w:t xml:space="preserve">Please consider the manuscript, “PhysioRisk: an interpretable survival-modeling framework for separating demographic and physiological mortality risk,” for publication as a Research article in Biogerontology.</w:t>
      </w:r>
    </w:p>
    <w:p>
      <w:pPr>
        <w:spacing w:before="160" w:after="160" w:line="276" w:lineRule="auto"/>
      </w:pPr>
      <w:r>
        <w:t xml:space="preserve">Mortality-based aging measures often combine chronological age with physiological measurements in a single predictor. This can provide strong discrimination while making it difficult to determine how much of the predicted risk reflects demographic mortality structure and how much reflects physiological variation among individuals of similar age and sex. PhysioRisk was developed to separate these quantities explicitly.</w:t>
      </w:r>
    </w:p>
    <w:p>
      <w:pPr>
        <w:spacing w:before="160" w:after="160" w:line="276" w:lineRule="auto"/>
      </w:pPr>
      <w:r>
        <w:t xml:space="preserve">Using mortality-linked NHANES 1999–2016 data, we constructed DemoRisk from age and sex and PhysioRisk from biomarkers adjusted for age and sex. The two components were evaluated separately and then recombined using coefficients estimated only in the development cohort. In internal temporal validation, PhysioRisk remained weakly correlated with chronological age while retaining mortality information. Recombination improved discrimination over DemoRisk alone, while CalibratedTotalRisk showed discrimination similar to a PhenoAge no-CRP comparator.</w:t>
      </w:r>
    </w:p>
    <w:p>
      <w:pPr>
        <w:spacing w:before="160" w:after="160" w:line="276" w:lineRule="auto"/>
      </w:pPr>
      <w:r>
        <w:t xml:space="preserve">The contribution of this work is not a claim of superior mortality prediction or a new biological-age clock. Rather, it is an interpretable framework for separating demographic mortality risk from mortality-associated physiological heterogeneity while retaining the option to recombine them for total-risk prediction. We believe this is relevant to Biogerontology because the study addresses the relationship among aging biomarkers, physiological heterogeneity, biodemographic mortality structure, and survival risk.</w:t>
      </w:r>
    </w:p>
    <w:p>
      <w:pPr>
        <w:spacing w:before="160" w:after="160" w:line="276" w:lineRule="auto"/>
      </w:pPr>
      <w:r>
        <w:t xml:space="preserve">The manuscript is not under consideration elsewhere. A revised version is publicly available as a Research Square preprint:</w:t>
      </w:r>
    </w:p>
    <w:p>
      <w:pPr>
        <w:spacing w:before="0" w:after="0" w:line="276" w:lineRule="auto"/>
      </w:pPr>
      <w:r>
        <w:t xml:space="preserve">https://doi.org/10.21203/rs.3.rs-9829732/v2</w:t>
      </w:r>
    </w:p>
    <w:p>
      <w:pPr>
        <w:spacing w:before="160" w:after="160" w:line="276" w:lineRule="auto"/>
      </w:pPr>
      <w:r>
        <w:t xml:space="preserve">Analysis code, aggregate results, and reproducibility documentation are publicly available at:</w:t>
      </w:r>
    </w:p>
    <w:p>
      <w:pPr>
        <w:spacing w:before="0" w:after="0" w:line="276" w:lineRule="auto"/>
      </w:pPr>
      <w:r>
        <w:t xml:space="preserve">https://github.com/allengr220/physiorisk_public/</w:t>
      </w:r>
    </w:p>
    <w:p>
      <w:pPr>
        <w:spacing w:before="160" w:after="160" w:line="276" w:lineRule="auto"/>
      </w:pPr>
      <w:r>
        <w:t xml:space="preserve">Thank you for considering this work.</w:t>
      </w:r>
    </w:p>
    <w:p>
      <w:pPr>
        <w:spacing w:before="160" w:after="0" w:line="276" w:lineRule="auto"/>
      </w:pPr>
      <w:r>
        <w:t xml:space="preserve">Sincerely,</w:t>
      </w:r>
    </w:p>
    <w:p>
      <w:pPr>
        <w:spacing w:before="0" w:after="0" w:line="276" w:lineRule="auto"/>
      </w:pPr>
      <w:r>
        <w:t xml:space="preserve">Gregory S. Allen</w:t>
      </w:r>
    </w:p>
    <w:p>
      <w:pPr>
        <w:spacing w:before="0" w:after="0" w:line="276" w:lineRule="auto"/>
      </w:pPr>
      <w:r>
        <w:t xml:space="preserve">Independent researcher, Cuenca, Ecuador</w:t>
      </w:r>
    </w:p>
    <w:p>
      <w:pPr>
        <w:spacing w:before="0" w:after="0" w:line="276" w:lineRule="auto"/>
      </w:pPr>
      <w:r>
        <w:t xml:space="preserve">allengr220@gmail.com</w:t>
      </w:r>
    </w:p>
    <w:sectPr>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w:font w:name="Times New Roman">
    <w:family w:val="roman"/>
    <w:pitch w:val="variable"/>
  </w:font>
</w:fonts>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eastAsia="Times New Roman" w:cs="Times New Roman"/>
        <w:sz w:val="22"/>
        <w:szCs w:val="22"/>
        <w:lang w:val="en-US"/>
      </w:rPr>
    </w:rPrDefault>
    <w:pPrDefaul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creator/>
  <cp:lastModifiedBy/>
  <dcterms:created xsi:type="dcterms:W3CDTF">2026-10-10T00:41:43Z</dcterms:created>
  <dcterms:modified xsi:type="dcterms:W3CDTF">2026-10-10T00:41:43Z</dcterms:modified>
</cp:coreProperties>
</file>