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
        <w:jc w:val="center"/>
        <w:rPr/>
      </w:pPr>
      <w:r>
        <w:rPr>
          <w:b/>
          <w:sz w:val="32"/>
        </w:rPr>
        <w:t>PhysioRisk: an interpretable survival-modeling framework for separating demographic and physiological mortality risk</w:t>
      </w:r>
    </w:p>
    <w:p>
      <w:pPr>
        <w:pStyle w:val="Normal"/>
        <w:spacing w:lineRule="auto" w:line="252" w:before="0" w:after="20"/>
        <w:jc w:val="center"/>
        <w:rPr/>
      </w:pPr>
      <w:r>
        <w:rPr>
          <w:i w:val="false"/>
          <w:sz w:val="21"/>
        </w:rPr>
        <w:t>Gregory S. Allen</w:t>
      </w:r>
    </w:p>
    <w:p>
      <w:pPr>
        <w:pStyle w:val="Normal"/>
        <w:spacing w:lineRule="auto" w:line="252" w:before="0" w:after="180"/>
        <w:jc w:val="center"/>
        <w:rPr/>
      </w:pPr>
      <w:r>
        <w:rPr>
          <w:i/>
          <w:sz w:val="21"/>
        </w:rPr>
        <w:t>Independent researcher, Cuenca, Ecuador</w:t>
      </w:r>
    </w:p>
    <w:p>
      <w:pPr>
        <w:pStyle w:val="Heading1"/>
        <w:rPr/>
      </w:pPr>
      <w:r>
        <w:rPr/>
        <w:t>Abstract</w:t>
      </w:r>
    </w:p>
    <w:p>
      <w:pPr>
        <w:pStyle w:val="Normal"/>
        <w:spacing w:lineRule="auto" w:line="252" w:before="0" w:after="100"/>
        <w:rPr/>
      </w:pPr>
      <w:r>
        <w:rPr>
          <w:b/>
        </w:rPr>
        <w:t>Background:</w:t>
      </w:r>
      <w:r>
        <w:rPr>
          <w:i w:val="false"/>
          <w:sz w:val="21"/>
        </w:rPr>
        <w:t xml:space="preserve"> Biomarker-based mortality scores often combine chronological age with physiological measurements, obscuring whether predicted risk reflects demographic mortality structure or physiological deviation. We asked whether mortality risk could be decomposed into a demographic component and an age- and sex-adjusted physiological component while preserving useful prognostic information.</w:t>
      </w:r>
    </w:p>
    <w:p>
      <w:pPr>
        <w:pStyle w:val="Normal"/>
        <w:spacing w:lineRule="auto" w:line="252" w:before="0" w:after="100"/>
        <w:rPr/>
      </w:pPr>
      <w:r>
        <w:rPr/>
        <w:t>Methods: We analyzed unweighted, mortality-linked NHANES 1999–2016 data. DemoRisk was an age- and sex-based Cox linear predictor trained in 1999–2010. PhysioRisk was derived from development-residualized biomarkers summarized in two physiological axes and applied unchanged in temporal validation. CalibratedTotalRisk recombined the fixed components using coefficients estimated only in development (1.059×DemoRisk + 0.356×PhysioRisk). The documented scoring path and CalibratedTotalRisk coefficients were fixed before internal temporal validation in 2011–2016. We evaluated hazard ratios (HRs) per validation-cohort standard deviation, Harrell C-index with 2,000 participant bootstrap replicates, paired C-index contrasts, proportional-hazards diagnostics, 5- and 8-year calibration and inverse-probability-of-censoring-weighted (IPCW) Brier scores, and censoring-robust discrimination. PhenoAge NCP was a no-CRP proxy rather than the full PhenoAge implementation.</w:t>
      </w:r>
    </w:p>
    <w:p>
      <w:pPr>
        <w:pStyle w:val="Normal"/>
        <w:spacing w:lineRule="auto" w:line="252" w:before="0" w:after="100"/>
        <w:rPr/>
      </w:pPr>
      <w:r>
        <w:rPr/>
        <w:t>Results: Of 92,062 source-cycle participants, 53,255 were mortality eligible and 19,829 formed the biomarker-complete cohort. Development included 13,090 participants (2,520 deaths), and temporal validation included 6,739 (416 deaths). PhysioRisk had low age correlation (r=0.106), C-index 0.654 (95% CI 0.624–0.685), and HR 1.387 (95% CI 1.338–1.439). CalibratedTotalRisk had C-index 0.843 (95% CI 0.822–0.863), exceeding DemoRisk by 0.016 (paired 95% CI 0.011–0.022). Its difference from PhenoAge NCP was 0.002 (paired 95% CI −0.003 to 0.007), providing no evidence of a discrimination difference. Five- and 8-year mean predicted mortality closely matched Kaplan–Meier observed mortality (4.61% vs 4.65% and 8.57% vs 8.83%), with horizon-specific slopes of 0.941 and 0.999. CalibratedTotalRisk violated strict proportional hazards, with its association strengthening over follow-up.</w:t>
      </w:r>
    </w:p>
    <w:p>
      <w:pPr>
        <w:pStyle w:val="Normal"/>
        <w:spacing w:lineRule="auto" w:line="252" w:before="0" w:after="100"/>
        <w:rPr/>
      </w:pPr>
      <w:r>
        <w:rPr/>
        <w:t>Conclusions: Age- and sex-adjusted physiology retained mortality information and improved discrimination when recombined with demographic risk. Comparable discrimination with PhenoAge NCP shows that explicit demographic–physiological decomposition can preserve useful risk ranking. It does not establish superiority. Findings are from an unweighted complete-case analytic cohort with internal temporal validation, and external validation remains necessary.</w:t>
      </w:r>
    </w:p>
    <w:p>
      <w:pPr>
        <w:pStyle w:val="Normal"/>
        <w:spacing w:lineRule="auto" w:line="252" w:before="0" w:after="160"/>
        <w:rPr/>
      </w:pPr>
      <w:r>
        <w:rPr>
          <w:b/>
        </w:rPr>
        <w:t>Keywords:</w:t>
      </w:r>
      <w:r>
        <w:rPr>
          <w:i w:val="false"/>
          <w:sz w:val="21"/>
        </w:rPr>
        <w:t xml:space="preserve"> mortality prediction; survival analysis; Cox proportional hazards; interpretability; biomarker modeling; NHANES; prognostic models; risk decomposition</w:t>
      </w:r>
    </w:p>
    <w:p>
      <w:pPr>
        <w:pStyle w:val="Heading1"/>
        <w:rPr/>
      </w:pPr>
      <w:r>
        <w:rPr/>
        <w:t>Introduction</w:t>
      </w:r>
    </w:p>
    <w:p>
      <w:pPr>
        <w:pStyle w:val="Normal"/>
        <w:spacing w:lineRule="auto" w:line="252" w:before="0" w:after="100"/>
        <w:rPr/>
      </w:pPr>
      <w:r>
        <w:rPr>
          <w:i w:val="false"/>
          <w:sz w:val="21"/>
        </w:rPr>
        <w:t>All-cause mortality is decidedly structured by chronological age. Prognostic models that combine age with clinical biomarkers can therefore achieve high discrimination even when much of their risk ranking reflects demographic rather than physiological variation. This is not a defect when mortality prediction is the sole objective. It becomes an interpretive problem when mortality-trained scores are also used to describe biological or physiological aging, because a high score may reflect physiological dysfunction, greater chronological age, or some combination of the two [1–4].</w:t>
      </w:r>
    </w:p>
    <w:p>
      <w:pPr>
        <w:pStyle w:val="Normal"/>
        <w:spacing w:lineRule="auto" w:line="252" w:before="0" w:after="100"/>
        <w:rPr/>
      </w:pPr>
      <w:r>
        <w:rPr>
          <w:i w:val="false"/>
          <w:sz w:val="21"/>
        </w:rPr>
        <w:t>Several established approaches address different aspects of this problem. PhenoAge and related mortality-trained aging measures combine age and biomarker information to construct predictors of morbidity and mortality [4]. Epigenetic mortality predictors such as GrimAge likewise emphasize prognosis, although their molecular inputs and interpretation differ substantially [1]. Physiological dysregulation methods instead measure multivariate departure from an empirically defined reference state and have shown that aging-related risk can emerge from coordinated changes across physiological systems [5–7]. Frailty and deficit-accumulation approaches similarly emphasize heterogeneity among individuals of the same chronological age [8–10]. These articles suggest an important distinction between predicting total mortality risk and characterizing physiological variation within the demographic structure of that risk.</w:t>
      </w:r>
    </w:p>
    <w:p>
      <w:pPr>
        <w:pStyle w:val="Normal"/>
        <w:spacing w:lineRule="auto" w:line="252" w:before="0" w:after="100"/>
        <w:rPr/>
      </w:pPr>
      <w:r>
        <w:rPr>
          <w:i w:val="false"/>
          <w:sz w:val="21"/>
        </w:rPr>
        <w:t>Chronological age is both biologically informative and statistically dominant. Removing it from a mortality model simply to produce a less age-correlated score would discard important prognostic information. Yet retaining age within a single aggregate score makes it difficult to determine how much risk reflects the expected mortality gradient associated with age and sex and how much reflects an individual's physiological state relative to others of similar age and sex. These are different questions and need not be answered by the same model component.</w:t>
      </w:r>
    </w:p>
    <w:p>
      <w:pPr>
        <w:pStyle w:val="Normal"/>
        <w:spacing w:lineRule="auto" w:line="252" w:before="0" w:after="100"/>
        <w:rPr/>
      </w:pPr>
      <w:r>
        <w:rPr>
          <w:i w:val="false"/>
          <w:sz w:val="21"/>
        </w:rPr>
        <w:t>PhysioRisk makes this separation explicit. DemoRisk summarizes mortality-risk structure associated with age and sex, whereas PhysioRisk summarizes mortality-associated deviations of clinical biomarkers from values expected conditional on age and sex. The physiological component is constructed only after age- and sex-associated biomarker trends have been removed. The two components can then be examined separately or recombined, using weights estimated in the development cohort, to form CalibratedTotalRisk.</w:t>
      </w:r>
    </w:p>
    <w:p>
      <w:pPr>
        <w:pStyle w:val="Normal"/>
        <w:spacing w:lineRule="auto" w:line="252" w:before="0" w:after="100"/>
        <w:rPr/>
      </w:pPr>
      <w:r>
        <w:rPr>
          <w:i w:val="false"/>
          <w:sz w:val="21"/>
        </w:rPr>
        <w:t>This construction differs from an age-acceleration residual derived from an already assembled biological-age or mortality score. In an acceleration approach, the aggregate score is constructed first and its association with chronological age removed afterward. In PhysioRisk, age and sex are removed from the individual physiological measurements before those measurements are summarized and related to mortality. These operations are not generally equivalent. PhysioRisk therefore asks a different question: whether physiological deviations conditional on age and sex contain mortality information while demographic mortality risk remains separately observable. This distinction does not imply that either approach is intrinsically superior.</w:t>
      </w:r>
    </w:p>
    <w:p>
      <w:pPr>
        <w:pStyle w:val="Normal"/>
        <w:spacing w:lineRule="auto" w:line="252" w:before="0" w:after="100"/>
        <w:rPr/>
      </w:pPr>
      <w:r>
        <w:rPr/>
        <w:t>Interpretability is thus part of the model architecture rather than a post hoc explanation of a single risk score. The retained PhysioRisk specification organizes the residualized measurements into two transparent physiological axes, HematologicStress and RenalHepaticTurnover. These axes are not intended as complete biological systems or causal mechanisms. They provide a low-dimensional organization of correlated clinical measurements that keeps the physiological contribution to mortality risk inspectable rather than absorbing it into an age-entangled predictor.</w:t>
      </w:r>
    </w:p>
    <w:p>
      <w:pPr>
        <w:pStyle w:val="Normal"/>
        <w:spacing w:lineRule="auto" w:line="252" w:before="0" w:after="100"/>
        <w:rPr/>
      </w:pPr>
      <w:r>
        <w:rPr/>
        <w:t>We examined whether this decomposition remained useful under internal temporal validation. Specifically, we asked whether age- and sex-adjusted physiological variation retained an association with mortality, whether PhysioRisk contributed prognostic information beyond DemoRisk, whether development-calibrated recombination preserved overall mortality discrimination, and how the resulting composite compared with a Levine-style PhenoAge no-CRP proxy and its age-adjusted residual. We also evaluated uncertainty in discrimination, fixed-horizon calibration, proportional-hazards behavior, censoring-robust performance, missingness, and cohort selection. The objective was not to establish PhysioRisk as a superior biological-age score, but to test whether demographic–physiological risk decomposition provides a useful and interpretable alternative representation of mortality risk. Reporting was guided by TRIPOD [11].</w:t>
      </w:r>
    </w:p>
    <w:p>
      <w:pPr>
        <w:pStyle w:val="Heading2"/>
        <w:rPr/>
      </w:pPr>
      <w:r>
        <w:rPr/>
        <w:t>Conceptual framework for risk decomposition</w:t>
      </w:r>
    </w:p>
    <w:p>
      <w:pPr>
        <w:pStyle w:val="Normal"/>
        <w:spacing w:lineRule="auto" w:line="252" w:before="0" w:after="100"/>
        <w:rPr/>
      </w:pPr>
      <w:r>
        <w:rPr>
          <w:i w:val="false"/>
          <w:sz w:val="21"/>
        </w:rPr>
        <w:t>In a Cox proportional-hazards model, mortality risk for individual i at time t can be written as</w:t>
      </w:r>
    </w:p>
    <w:p>
      <w:pPr>
        <w:pStyle w:val="Normal"/>
        <w:spacing w:before="60" w:after="100"/>
        <w:jc w:val="center"/>
        <w:rPr/>
      </w:pPr>
      <w:r>
        <w:rPr>
          <w:rFonts w:ascii="Cambria Math" w:hAnsi="Cambria Math"/>
          <w:i/>
          <w:sz w:val="22"/>
        </w:rPr>
        <w:t>h</w:t>
      </w:r>
      <w:r>
        <w:rPr>
          <w:rFonts w:ascii="Cambria Math" w:hAnsi="Cambria Math"/>
          <w:i/>
          <w:sz w:val="22"/>
          <w:vertAlign w:val="subscript"/>
        </w:rPr>
        <w:t>i</w:t>
      </w:r>
      <w:r>
        <w:rPr>
          <w:rFonts w:ascii="Cambria Math" w:hAnsi="Cambria Math"/>
          <w:sz w:val="22"/>
        </w:rPr>
        <w:t xml:space="preserve">(t) = </w:t>
      </w:r>
      <w:r>
        <w:rPr>
          <w:rFonts w:ascii="Cambria Math" w:hAnsi="Cambria Math"/>
          <w:i/>
          <w:sz w:val="22"/>
        </w:rPr>
        <w:t>h</w:t>
      </w:r>
      <w:r>
        <w:rPr>
          <w:rFonts w:ascii="Cambria Math" w:hAnsi="Cambria Math"/>
          <w:i w:val="false"/>
          <w:sz w:val="22"/>
          <w:vertAlign w:val="subscript"/>
        </w:rPr>
        <w:t>0</w:t>
      </w:r>
      <w:r>
        <w:rPr>
          <w:rFonts w:ascii="Cambria Math" w:hAnsi="Cambria Math"/>
          <w:sz w:val="22"/>
        </w:rPr>
        <w:t xml:space="preserve">(t) </w:t>
      </w:r>
      <w:r>
        <w:rPr>
          <w:rFonts w:ascii="Cambria Math" w:hAnsi="Cambria Math"/>
          <w:i w:val="false"/>
          <w:sz w:val="22"/>
        </w:rPr>
        <w:t>exp</w:t>
      </w:r>
      <w:r>
        <w:rPr>
          <w:rFonts w:ascii="Cambria Math" w:hAnsi="Cambria Math"/>
          <w:sz w:val="22"/>
        </w:rPr>
        <w:t>(</w:t>
      </w:r>
      <w:r>
        <w:rPr>
          <w:rFonts w:ascii="Cambria Math" w:hAnsi="Cambria Math"/>
          <w:i/>
          <w:sz w:val="22"/>
        </w:rPr>
        <w:t>η</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t xml:space="preserve">where </w:t>
      </w:r>
      <w:r>
        <w:rPr>
          <w:rFonts w:ascii="Cambria Math" w:hAnsi="Cambria Math"/>
          <w:i/>
          <w:sz w:val="22"/>
        </w:rPr>
        <w:t>h</w:t>
      </w:r>
      <w:r>
        <w:rPr>
          <w:rFonts w:ascii="Cambria Math" w:hAnsi="Cambria Math"/>
          <w:i w:val="false"/>
          <w:sz w:val="22"/>
          <w:vertAlign w:val="subscript"/>
        </w:rPr>
        <w:t>0</w:t>
      </w:r>
      <w:r>
        <w:rPr>
          <w:rFonts w:ascii="Cambria Math" w:hAnsi="Cambria Math"/>
          <w:i/>
          <w:sz w:val="22"/>
        </w:rPr>
        <w:t>(t)</w:t>
      </w:r>
      <w:r>
        <w:rPr/>
        <w:t xml:space="preserve"> is the unspecified baseline hazard and </w:t>
      </w:r>
      <w:r>
        <w:rPr>
          <w:rFonts w:ascii="Cambria Math" w:hAnsi="Cambria Math"/>
          <w:i/>
          <w:sz w:val="22"/>
        </w:rPr>
        <w:t>η</w:t>
      </w:r>
      <w:r>
        <w:rPr>
          <w:rFonts w:ascii="Cambria Math" w:hAnsi="Cambria Math"/>
          <w:i/>
          <w:sz w:val="22"/>
          <w:vertAlign w:val="subscript"/>
        </w:rPr>
        <w:t>i</w:t>
      </w:r>
      <w:r>
        <w:rPr/>
        <w:t xml:space="preserve"> is the individual's covariate-dependent linear predictor [14,15]. A useful conceptual distinction is therefore between the baseline hazard, which is common to individuals at a given analysis time, and covariate-dependent differences in relative hazard. In this framework, DemoRisk is not the Cox baseline hazard. It is the portion of the covariate-dependent predictor derived from age and sex.</w:t>
      </w:r>
    </w:p>
    <w:p>
      <w:pPr>
        <w:pStyle w:val="Normal"/>
        <w:spacing w:lineRule="auto" w:line="252" w:before="0" w:after="100"/>
        <w:rPr/>
      </w:pPr>
      <w:r>
        <w:rPr>
          <w:i w:val="false"/>
          <w:sz w:val="21"/>
        </w:rPr>
        <w:t>We write the modeled relative-risk component schematically as</w:t>
      </w:r>
    </w:p>
    <w:p>
      <w:pPr>
        <w:pStyle w:val="Normal"/>
        <w:spacing w:before="60" w:after="100"/>
        <w:jc w:val="center"/>
        <w:rPr/>
      </w:pPr>
      <w:r>
        <w:rPr>
          <w:rFonts w:ascii="Cambria Math" w:hAnsi="Cambria Math"/>
          <w:i/>
          <w:sz w:val="22"/>
        </w:rPr>
        <w:t>η</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β</w:t>
      </w:r>
      <w:r>
        <w:rPr>
          <w:rFonts w:ascii="Cambria Math" w:hAnsi="Cambria Math"/>
          <w:i/>
          <w:sz w:val="22"/>
          <w:vertAlign w:val="subscript"/>
        </w:rPr>
        <w:t>D</w:t>
      </w:r>
      <w:r>
        <w:rPr>
          <w:rFonts w:ascii="Cambria Math" w:hAnsi="Cambria Math"/>
          <w:sz w:val="22"/>
        </w:rPr>
        <w:t xml:space="preserve"> </w:t>
      </w:r>
      <w:r>
        <w:rPr>
          <w:rFonts w:ascii="Cambria Math" w:hAnsi="Cambria Math"/>
          <w:i/>
          <w:sz w:val="22"/>
        </w:rPr>
        <w:t>D</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β</w:t>
      </w:r>
      <w:r>
        <w:rPr>
          <w:rFonts w:ascii="Cambria Math" w:hAnsi="Cambria Math"/>
          <w:i/>
          <w:sz w:val="22"/>
          <w:vertAlign w:val="subscript"/>
        </w:rPr>
        <w:t>P</w:t>
      </w:r>
      <w:r>
        <w:rPr>
          <w:rFonts w:ascii="Cambria Math" w:hAnsi="Cambria Math"/>
          <w:sz w:val="22"/>
        </w:rPr>
        <w:t xml:space="preserve"> </w:t>
      </w:r>
      <w:r>
        <w:rPr>
          <w:rFonts w:ascii="Cambria Math" w:hAnsi="Cambria Math"/>
          <w:i/>
          <w:sz w:val="22"/>
        </w:rPr>
        <w:t>P</w:t>
      </w:r>
      <w:r>
        <w:rPr>
          <w:rFonts w:ascii="Cambria Math" w:hAnsi="Cambria Math"/>
          <w:i/>
          <w:sz w:val="22"/>
          <w:vertAlign w:val="subscript"/>
        </w:rPr>
        <w:t>i</w:t>
      </w:r>
    </w:p>
    <w:p>
      <w:pPr>
        <w:pStyle w:val="Normal"/>
        <w:spacing w:lineRule="auto" w:line="252" w:before="0" w:after="100"/>
        <w:rPr/>
      </w:pPr>
      <w:r>
        <w:rPr/>
        <w:t xml:space="preserve">where </w:t>
      </w:r>
      <w:r>
        <w:rPr>
          <w:rFonts w:ascii="Cambria Math" w:hAnsi="Cambria Math"/>
          <w:i/>
          <w:sz w:val="22"/>
        </w:rPr>
        <w:t>D</w:t>
      </w:r>
      <w:r>
        <w:rPr>
          <w:rFonts w:ascii="Cambria Math" w:hAnsi="Cambria Math"/>
          <w:i/>
          <w:sz w:val="22"/>
          <w:vertAlign w:val="subscript"/>
        </w:rPr>
        <w:t>i</w:t>
      </w:r>
      <w:r>
        <w:rPr/>
        <w:t xml:space="preserve"> denotes DemoRisk and </w:t>
      </w:r>
      <w:r>
        <w:rPr>
          <w:rFonts w:ascii="Cambria Math" w:hAnsi="Cambria Math"/>
          <w:i/>
          <w:sz w:val="22"/>
        </w:rPr>
        <w:t>P</w:t>
      </w:r>
      <w:r>
        <w:rPr>
          <w:rFonts w:ascii="Cambria Math" w:hAnsi="Cambria Math"/>
          <w:i/>
          <w:sz w:val="22"/>
          <w:vertAlign w:val="subscript"/>
        </w:rPr>
        <w:t>i</w:t>
      </w:r>
      <w:r>
        <w:rPr/>
        <w:t xml:space="preserve"> denotes PhysioRisk. The coefficients </w:t>
      </w:r>
      <w:r>
        <w:rPr>
          <w:rFonts w:ascii="Cambria Math" w:hAnsi="Cambria Math"/>
          <w:i/>
          <w:sz w:val="22"/>
        </w:rPr>
        <w:t>β</w:t>
      </w:r>
      <w:r>
        <w:rPr>
          <w:rFonts w:ascii="Cambria Math" w:hAnsi="Cambria Math"/>
          <w:i/>
          <w:sz w:val="22"/>
          <w:vertAlign w:val="subscript"/>
        </w:rPr>
        <w:t>D</w:t>
      </w:r>
      <w:r>
        <w:rPr/>
        <w:t xml:space="preserve"> and </w:t>
      </w:r>
      <w:r>
        <w:rPr>
          <w:rFonts w:ascii="Cambria Math" w:hAnsi="Cambria Math"/>
          <w:i/>
          <w:sz w:val="22"/>
        </w:rPr>
        <w:t>β</w:t>
      </w:r>
      <w:r>
        <w:rPr>
          <w:rFonts w:ascii="Cambria Math" w:hAnsi="Cambria Math"/>
          <w:i/>
          <w:sz w:val="22"/>
          <w:vertAlign w:val="subscript"/>
        </w:rPr>
        <w:t>P</w:t>
      </w:r>
      <w:r>
        <w:rPr/>
        <w:t xml:space="preserve"> are estimated jointly in the development cohort, and their frozen weighted combination defines CalibratedTotalRisk. The relative numerical scales of the demographic and physiological scores need not be equal. Standardizing one component therefore does not justify adding the two with unit weights.</w:t>
      </w:r>
    </w:p>
    <w:p>
      <w:pPr>
        <w:pStyle w:val="Normal"/>
        <w:spacing w:lineRule="auto" w:line="252" w:before="0" w:after="100"/>
        <w:rPr/>
      </w:pPr>
      <w:r>
        <w:rPr/>
        <w:t xml:space="preserve">DemoRisk is derived from a Cox model containing spline-transformed chronological age and sex. PhysioRisk is constructed differently. For each biomarker </w:t>
      </w:r>
      <w:r>
        <w:rPr>
          <w:rFonts w:ascii="Cambria Math" w:hAnsi="Cambria Math"/>
          <w:i/>
          <w:sz w:val="22"/>
        </w:rPr>
        <w:t>X</w:t>
      </w:r>
      <w:r>
        <w:rPr>
          <w:rFonts w:ascii="Cambria Math" w:hAnsi="Cambria Math"/>
          <w:i/>
          <w:sz w:val="22"/>
          <w:vertAlign w:val="subscript"/>
        </w:rPr>
        <w:t>j</w:t>
      </w:r>
      <w:r>
        <w:rPr/>
        <w:t>, the expected value conditional on age and sex is estimated in the development cohort:</w:t>
      </w:r>
    </w:p>
    <w:p>
      <w:pPr>
        <w:pStyle w:val="Normal"/>
        <w:spacing w:before="60" w:after="100"/>
        <w:jc w:val="center"/>
        <w:rPr/>
      </w:pPr>
      <w:r>
        <w:rPr>
          <w:rFonts w:ascii="Cambria Math" w:hAnsi="Cambria Math"/>
          <w:i w:val="false"/>
          <w:sz w:val="22"/>
        </w:rPr>
        <w:t>E</w:t>
      </w:r>
      <w:r>
        <w:rPr>
          <w:rFonts w:ascii="Cambria Math" w:hAnsi="Cambria Math"/>
          <w:sz w:val="22"/>
        </w:rPr>
        <w:t>(</w:t>
      </w: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f</w:t>
      </w:r>
      <w:r>
        <w:rPr>
          <w:rFonts w:ascii="Cambria Math" w:hAnsi="Cambria Math"/>
          <w:i/>
          <w:sz w:val="22"/>
          <w:vertAlign w:val="subscript"/>
        </w:rPr>
        <w:t>j</w:t>
      </w:r>
      <w:r>
        <w:rPr>
          <w:rFonts w:ascii="Cambria Math" w:hAnsi="Cambria Math"/>
          <w:sz w:val="22"/>
        </w:rPr>
        <w:t>(</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The residual</w:t>
      </w:r>
    </w:p>
    <w:p>
      <w:pPr>
        <w:pStyle w:val="Normal"/>
        <w:spacing w:before="60" w:after="100"/>
        <w:jc w:val="center"/>
        <w:rPr/>
      </w:pPr>
      <w:r>
        <w:rPr>
          <w:rFonts w:ascii="Cambria Math" w:hAnsi="Cambria Math"/>
          <w:i/>
          <w:sz w:val="22"/>
        </w:rPr>
        <w:t>R</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f̂</w:t>
      </w:r>
      <w:r>
        <w:rPr>
          <w:rFonts w:ascii="Cambria Math" w:hAnsi="Cambria Math"/>
          <w:i/>
          <w:sz w:val="22"/>
          <w:vertAlign w:val="subscript"/>
        </w:rPr>
        <w:t>j</w:t>
      </w:r>
      <w:r>
        <w:rPr>
          <w:rFonts w:ascii="Cambria Math" w:hAnsi="Cambria Math"/>
          <w:sz w:val="22"/>
        </w:rPr>
        <w:t>(</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represents the participant's deviation from the development-cohort expectation for that biomarker at the same age and sex. The fitted residualization functions and subsequent standardization parameters are then applied unchanged to the temporal-validation cohort.</w:t>
      </w:r>
    </w:p>
    <w:p>
      <w:pPr>
        <w:pStyle w:val="Normal"/>
        <w:spacing w:lineRule="auto" w:line="252" w:before="0" w:after="100"/>
        <w:rPr/>
      </w:pPr>
      <w:r>
        <w:rPr>
          <w:i w:val="false"/>
          <w:sz w:val="21"/>
        </w:rPr>
        <w:t>PhysioRisk is therefore not intended to estimate the total physiological changes that accompany aging. Many genuine biological consequences of aging will, by design, be absorbed into expected age-associated biomarker trajectories and removed from the physiological predictors. The question posed by PhysioRisk is narrower: among people positioned similarly with respect to age and sex, do deviations in measured physiology identify additional mortality heterogeneity?</w:t>
      </w:r>
    </w:p>
    <w:p>
      <w:pPr>
        <w:pStyle w:val="Normal"/>
        <w:spacing w:lineRule="auto" w:line="252" w:before="0" w:after="100"/>
        <w:rPr/>
      </w:pPr>
      <w:r>
        <w:rPr/>
        <w:t xml:space="preserve">This distinction also clarifies the relationship to biological-age acceleration measures. If </w:t>
      </w:r>
      <w:r>
        <w:rPr>
          <w:rFonts w:ascii="Cambria Math" w:hAnsi="Cambria Math"/>
          <w:i/>
          <w:sz w:val="22"/>
        </w:rPr>
        <w:t>B</w:t>
      </w:r>
      <w:r>
        <w:rPr>
          <w:rFonts w:ascii="Cambria Math" w:hAnsi="Cambria Math"/>
          <w:i/>
          <w:sz w:val="22"/>
          <w:vertAlign w:val="subscript"/>
        </w:rPr>
        <w:t>i</w:t>
      </w:r>
      <w:r>
        <w:rPr/>
        <w:t xml:space="preserve"> is an aggregate mortality-trained biological-age score, an acceleration measure can be represented schematically as</w:t>
      </w:r>
    </w:p>
    <w:p>
      <w:pPr>
        <w:pStyle w:val="Normal"/>
        <w:spacing w:before="60" w:after="100"/>
        <w:jc w:val="center"/>
        <w:rPr/>
      </w:pPr>
      <w:r>
        <w:rPr>
          <w:rFonts w:ascii="Cambria Math" w:hAnsi="Cambria Math"/>
          <w:i/>
          <w:sz w:val="22"/>
        </w:rPr>
        <w:t>A</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B</w:t>
      </w:r>
      <w:r>
        <w:rPr>
          <w:rFonts w:ascii="Cambria Math" w:hAnsi="Cambria Math"/>
          <w:i/>
          <w:sz w:val="22"/>
          <w:vertAlign w:val="subscript"/>
        </w:rPr>
        <w:t>i</w:t>
      </w:r>
      <w:r>
        <w:rPr>
          <w:rFonts w:ascii="Cambria Math" w:hAnsi="Cambria Math"/>
          <w:sz w:val="22"/>
        </w:rPr>
        <w:t xml:space="preserve"> − </w:t>
      </w:r>
      <w:r>
        <w:rPr>
          <w:rFonts w:ascii="Cambria Math" w:hAnsi="Cambria Math"/>
          <w:i w:val="false"/>
          <w:sz w:val="22"/>
        </w:rPr>
        <w:t>E</w:t>
      </w:r>
      <w:r>
        <w:rPr>
          <w:rFonts w:ascii="Cambria Math" w:hAnsi="Cambria Math"/>
          <w:sz w:val="22"/>
        </w:rPr>
        <w:t>(</w:t>
      </w:r>
      <w:r>
        <w:rPr>
          <w:rFonts w:ascii="Cambria Math" w:hAnsi="Cambria Math"/>
          <w:i/>
          <w:sz w:val="22"/>
        </w:rPr>
        <w:t>B</w:t>
      </w:r>
      <w:r>
        <w:rPr>
          <w:rFonts w:ascii="Cambria Math" w:hAnsi="Cambria Math"/>
          <w:i/>
          <w:sz w:val="22"/>
          <w:vertAlign w:val="subscript"/>
        </w:rPr>
        <w:t>i</w:t>
      </w:r>
      <w:r>
        <w:rPr>
          <w:rFonts w:ascii="Cambria Math" w:hAnsi="Cambria Math"/>
          <w:sz w:val="22"/>
        </w:rPr>
        <w:t xml:space="preserve"> | </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PhysioRisk instead residualizes the biomarker inputs before constructing the mortality-associated physiological score:</w:t>
      </w:r>
    </w:p>
    <w:p>
      <w:pPr>
        <w:pStyle w:val="Normal"/>
        <w:spacing w:before="60" w:after="100"/>
        <w:jc w:val="center"/>
        <w:rPr/>
      </w:pP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R</w:t>
      </w:r>
      <w:r>
        <w:rPr>
          <w:rFonts w:ascii="Cambria Math" w:hAnsi="Cambria Math"/>
          <w:i/>
          <w:sz w:val="22"/>
          <w:vertAlign w:val="subscript"/>
        </w:rPr>
        <w:t>ij</w:t>
      </w:r>
      <w:r>
        <w:rPr>
          <w:rFonts w:ascii="Cambria Math" w:hAnsi="Cambria Math"/>
          <w:sz w:val="22"/>
        </w:rPr>
        <w:t xml:space="preserve"> → physiological axes → </w:t>
      </w:r>
      <w:r>
        <w:rPr>
          <w:rFonts w:ascii="Cambria Math" w:hAnsi="Cambria Math"/>
          <w:i/>
          <w:sz w:val="22"/>
        </w:rPr>
        <w:t>P</w:t>
      </w:r>
      <w:r>
        <w:rPr>
          <w:rFonts w:ascii="Cambria Math" w:hAnsi="Cambria Math"/>
          <w:i/>
          <w:sz w:val="22"/>
          <w:vertAlign w:val="subscript"/>
        </w:rPr>
        <w:t>i</w:t>
      </w:r>
    </w:p>
    <w:p>
      <w:pPr>
        <w:pStyle w:val="Normal"/>
        <w:spacing w:lineRule="auto" w:line="252" w:before="0" w:after="100"/>
        <w:rPr/>
      </w:pPr>
      <w:r>
        <w:rPr>
          <w:i w:val="false"/>
          <w:sz w:val="21"/>
        </w:rPr>
        <w:t>Because residualization and multivariable risk modeling do not generally commute, these procedures need not yield the same signal even when both final scores have little linear correlation with chronological age. PhenoAge NCP acceleration therefore provides a useful physiology-oriented comparator, but it is not mathematically identical to the PhysioRisk construction [4].</w:t>
      </w:r>
    </w:p>
    <w:p>
      <w:pPr>
        <w:pStyle w:val="Normal"/>
        <w:spacing w:lineRule="auto" w:line="252" w:before="0" w:after="100"/>
        <w:rPr/>
      </w:pPr>
      <w:r>
        <w:rPr/>
        <w:t>The framework is motivated by long-standing evidence of mortality heterogeneity among individuals of the same chronological age [8–10] and by work describing aging as multisystem physiological dysregulation [5–7]. PhysioRisk makes part of that heterogeneity observable through routine clinical biomarkers. PhysioRisk therefore captures mortality-associated physiological variation conditional on age and sex. It should not be interpreted as a direct measure of frailty or biological age, nor as a causal estimate of aging.</w:t>
      </w:r>
    </w:p>
    <w:p>
      <w:pPr>
        <w:pStyle w:val="Normal"/>
        <w:spacing w:lineRule="auto" w:line="252" w:before="0" w:after="100"/>
        <w:rPr/>
      </w:pPr>
      <w:r>
        <w:rPr/>
        <w:t>Finally, the decomposition separates two evaluation objectives that are often conflated. DemoRisk and CalibratedTotalRisk can be judged primarily as mortality-risk predictors, where discrimination and calibration are central. PhysioRisk can additionally be judged by whether it retains mortality information while remaining weakly associated with chronological age. A successful decomposition therefore does not require PhysioRisk alone to match the discrimination of a total-risk model. Doing so would largely defeat the purpose of removing demographic mortality structure. Instead, the relevant question is whether the residual physiological component is prognostically informative and whether recombining it with demographic risk adds information without obscuring the two sources of risk.</w:t>
      </w:r>
    </w:p>
    <w:p>
      <w:pPr>
        <w:pStyle w:val="Heading1"/>
        <w:rPr/>
      </w:pPr>
      <w:r>
        <w:rPr/>
        <w:t>Methods</w:t>
      </w:r>
    </w:p>
    <w:p>
      <w:pPr>
        <w:pStyle w:val="Heading2"/>
        <w:rPr/>
      </w:pPr>
      <w:r>
        <w:rPr/>
        <w:t>Study population, mortality linkage, and temporal split</w:t>
      </w:r>
    </w:p>
    <w:p>
      <w:pPr>
        <w:pStyle w:val="Normal"/>
        <w:spacing w:lineRule="auto" w:line="252" w:before="0" w:after="100"/>
        <w:rPr/>
      </w:pPr>
      <w:r>
        <w:rPr/>
        <w:t>Data came from nine continuous NHANES cycles from 1999–2000 through 2015–2016 [12]. The source-cycle union contained 92,062 participants. Records were linked one-to-one by participant identifier to the 2019 public-use linked mortality files [13]. Mortality eligibility required ELIGSTAT=1 and nonmissing follow-up time (PERMTH_INT) and mortality status (MORTSTAT), yielding 53,255 participants and 9,104 deaths. The endpoint was all-cause mortality. Follow-up began at the NHANES examination and ended at death or administrative censoring as recorded in PERMTH_INT. Participants without a recorded death were censored at their recorded follow-up month.</w:t>
      </w:r>
    </w:p>
    <w:p>
      <w:pPr>
        <w:pStyle w:val="Normal"/>
        <w:spacing w:lineRule="auto" w:line="252" w:before="0" w:after="100"/>
        <w:rPr/>
      </w:pPr>
      <w:r>
        <w:rPr/>
        <w:t>Complete data for the variables required by the prespecified biomarker construction were available for 19,829 participants (2,936 deaths). The downstream eight-biomarker no-CRP comparison removed no additional participants. Earlier cycles (1999–2000 through 2009–2010) formed the development cohort (n=13,090, 2,520 deaths). Later cycles (2011–2012 through 2015–2016) formed the internal temporal-validation cohort (n=6,739, 416 deaths) (Figure 1 and Table 1).</w:t>
      </w:r>
    </w:p>
    <w:p>
      <w:pPr>
        <w:pStyle w:val="Normal"/>
        <w:spacing w:lineRule="auto" w:line="252" w:before="0" w:after="100"/>
        <w:rPr/>
      </w:pPr>
      <w:r>
        <w:rPr>
          <w:i w:val="false"/>
          <w:sz w:val="21"/>
        </w:rPr>
        <w:t>NHANES uses a national probability sampling design, but analyses were unweighted because the objective was prediction-model development and temporal evaluation rather than population estimation. Estimates therefore describe this selected analytic cohort and are not population-representative NHANES estimates.</w:t>
      </w:r>
    </w:p>
    <w:p>
      <w:pPr>
        <w:pStyle w:val="Heading2"/>
        <w:rPr/>
      </w:pPr>
      <w:r>
        <w:rPr/>
        <w:t>Missing data and cohort selection</w:t>
      </w:r>
    </w:p>
    <w:p>
      <w:pPr>
        <w:pStyle w:val="Normal"/>
        <w:spacing w:lineRule="auto" w:line="252" w:before="0" w:after="100"/>
        <w:rPr/>
      </w:pPr>
      <w:r>
        <w:rPr>
          <w:i w:val="false"/>
          <w:sz w:val="21"/>
        </w:rPr>
        <w:t>For each cycle, missingness in the eight unique biomarkers required by PhysioRisk or PhenoAge NCP was quantified among mortality-eligible participants before complete-case restriction. Participants in the analytic cohort were compared descriptively with the 33,426 mortality-eligible participants excluded for missing one or more required fields. These comparisons summarized age, sex, deaths, and follow-up and did not modify the model specification (Supplementary Tables S6 and S7).</w:t>
      </w:r>
    </w:p>
    <w:p>
      <w:pPr>
        <w:pStyle w:val="Normal"/>
        <w:spacing w:lineRule="auto" w:line="252" w:before="0" w:after="100"/>
        <w:rPr/>
      </w:pPr>
      <w:r>
        <w:rPr/>
        <w:t>All five scores were evaluated in the same 6,739 complete temporal-validation participants. Training-median imputation for the PhenoAge NCP implementation consequently changed no values in this cohort. Common complete-case and common training-derived-imputation sensitivity analyses were recorded. Extension to excluded participants was not attempted because the exact physiological residualization parameters needed to score them were unavailable (Supplementary Table S8).</w:t>
      </w:r>
    </w:p>
    <w:p>
      <w:pPr>
        <w:pStyle w:val="Heading2"/>
        <w:rPr/>
      </w:pPr>
      <w:r>
        <w:rPr/>
        <w:t>DemoRisk</w:t>
      </w:r>
    </w:p>
    <w:p>
      <w:pPr>
        <w:pStyle w:val="Normal"/>
        <w:spacing w:lineRule="auto" w:line="252" w:before="0" w:after="100"/>
        <w:rPr/>
      </w:pPr>
      <w:r>
        <w:rPr>
          <w:i w:val="false"/>
          <w:sz w:val="21"/>
        </w:rPr>
        <w:t>DemoRisk was the log partial-hazard prediction from a Cox proportional hazards model [14,15] containing natural cubic spline terms for age (four degrees of freedom) and sex, with an L2 penalizer of 0.01. The model and spline design were fitted only in the 1999–2010 development cohort and applied unchanged to 2011–2016.</w:t>
      </w:r>
    </w:p>
    <w:p>
      <w:pPr>
        <w:pStyle w:val="Heading2"/>
        <w:rPr/>
      </w:pPr>
      <w:r>
        <w:rPr/>
        <w:t>PhysioRisk</w:t>
      </w:r>
    </w:p>
    <w:p>
      <w:pPr>
        <w:pStyle w:val="Normal"/>
        <w:spacing w:lineRule="auto" w:line="252" w:before="0" w:after="100"/>
        <w:rPr/>
      </w:pPr>
      <w:r>
        <w:rPr>
          <w:i w:val="false"/>
          <w:sz w:val="21"/>
        </w:rPr>
        <w:t>Each biomarker was regressed on natural cubic spline terms for age and sex in the development cohort. The fitted regression functions were applied to temporal-validation observations, and residuals were standardized using development-cohort means and standard deviations. HematologicStress was the signed average of standardized residuals for white blood cell count, lymphocyte percentage (reversed), mean corpuscular volume, and red cell distribution width. RenalHepaticTurnover similarly combined creatinine, albumin (reversed), and alkaline phosphatase.</w:t>
      </w:r>
    </w:p>
    <w:p>
      <w:pPr>
        <w:pStyle w:val="Normal"/>
        <w:spacing w:lineRule="auto" w:line="252" w:before="0" w:after="100"/>
        <w:rPr/>
      </w:pPr>
      <w:r>
        <w:rPr/>
        <w:t>The preserved final scoring and evaluation path contains a fixed two-axis score applied unchanged in temporal validation. The earlier sequence of decisions leading to selection of the two axes is incompletely reconstructed, so we cannot establish that every earlier model-selection decision was made without reference to later-cycle outcomes. The raw linear predictor used coefficients 0.433×HematologicStress + 0.235×RenalHepaticTurnover. The displayed coefficients are rounded. PhysioRisk was this raw predictor standardized using development-cohort parameters. Within the preserved final path, residualization functions, axis definitions, score coefficients, and standardization parameters were not refitted in temporal validation. Cox inference for PhysioRisk used a convergence-controlled fit and expressed the HR per one observed standard deviation in the temporal-validation cohort.</w:t>
      </w:r>
    </w:p>
    <w:p>
      <w:pPr>
        <w:pStyle w:val="Heading2"/>
        <w:rPr/>
      </w:pPr>
      <w:r>
        <w:rPr/>
        <w:t>Calibrated total risk</w:t>
      </w:r>
    </w:p>
    <w:p>
      <w:pPr>
        <w:pStyle w:val="Normal"/>
        <w:spacing w:lineRule="auto" w:line="252" w:before="0" w:after="100"/>
        <w:rPr/>
      </w:pPr>
      <w:r>
        <w:rPr>
          <w:i w:val="false"/>
          <w:sz w:val="21"/>
        </w:rPr>
        <w:t>The primary composite was defined as:</w:t>
      </w:r>
    </w:p>
    <w:p>
      <w:pPr>
        <w:pStyle w:val="Normal"/>
        <w:spacing w:before="60" w:after="100"/>
        <w:jc w:val="center"/>
        <w:rPr/>
      </w:pPr>
      <w:r>
        <w:rPr>
          <w:rFonts w:ascii="Cambria Math" w:hAnsi="Cambria Math"/>
          <w:i w:val="false"/>
          <w:sz w:val="22"/>
        </w:rPr>
        <w:t>CalibratedTotalRisk</w:t>
      </w:r>
      <w:r>
        <w:rPr>
          <w:rFonts w:ascii="Cambria Math" w:hAnsi="Cambria Math"/>
          <w:sz w:val="22"/>
        </w:rPr>
        <w:t xml:space="preserve"> = 1.0587 × </w:t>
      </w:r>
      <w:r>
        <w:rPr>
          <w:rFonts w:ascii="Cambria Math" w:hAnsi="Cambria Math"/>
          <w:i w:val="false"/>
          <w:sz w:val="22"/>
        </w:rPr>
        <w:t>DemoRisk</w:t>
      </w:r>
      <w:r>
        <w:rPr>
          <w:rFonts w:ascii="Cambria Math" w:hAnsi="Cambria Math"/>
          <w:sz w:val="22"/>
        </w:rPr>
        <w:t xml:space="preserve"> + 0.3564 × </w:t>
      </w:r>
      <w:r>
        <w:rPr>
          <w:rFonts w:ascii="Cambria Math" w:hAnsi="Cambria Math"/>
          <w:i w:val="false"/>
          <w:sz w:val="22"/>
        </w:rPr>
        <w:t>PhysioRisk</w:t>
      </w:r>
    </w:p>
    <w:p>
      <w:pPr>
        <w:pStyle w:val="Normal"/>
        <w:spacing w:lineRule="auto" w:line="252" w:before="0" w:after="100"/>
        <w:rPr/>
      </w:pPr>
      <w:r>
        <w:rPr/>
        <w:t>Both coefficients were estimated jointly in an unpenalized Cox model [14,15] using only the development cohort and were then fixed for temporal validation. Neither coefficient was selected using temporal-validation performance. The displayed coefficients are rounded to four decimal places. Full-precision values are retained in the analysis artifacts. DemoRisk and PhysioRisk were also retained and evaluated separately.</w:t>
      </w:r>
    </w:p>
    <w:p>
      <w:pPr>
        <w:pStyle w:val="Heading2"/>
        <w:rPr/>
      </w:pPr>
      <w:r>
        <w:rPr/>
        <w:t>Comparator</w:t>
      </w:r>
    </w:p>
    <w:p>
      <w:pPr>
        <w:pStyle w:val="Normal"/>
        <w:spacing w:lineRule="auto" w:line="252" w:before="0" w:after="100"/>
        <w:rPr/>
      </w:pPr>
      <w:r>
        <w:rPr>
          <w:i w:val="false"/>
          <w:sz w:val="21"/>
        </w:rPr>
        <w:t>PhenoAge NCP was constructed from the published PhenoAge biomarker coefficients [4] with C-reactive protein omitted in the locked analysis pipeline. It is therefore a PhenoAge no-CRP proxy, not the complete published implementation. PhenoAge NCP acceleration was the residual from a regression of PhenoAge NCP on spline-transformed age and sex fitted in development and applied unchanged to temporal validation.</w:t>
      </w:r>
    </w:p>
    <w:p>
      <w:pPr>
        <w:pStyle w:val="Heading2"/>
        <w:rPr/>
      </w:pPr>
      <w:r>
        <w:rPr/>
        <w:t>Validation and statistical analysis</w:t>
      </w:r>
    </w:p>
    <w:p>
      <w:pPr>
        <w:pStyle w:val="Normal"/>
        <w:spacing w:lineRule="auto" w:line="252" w:before="0" w:after="100"/>
        <w:rPr/>
      </w:pPr>
      <w:r>
        <w:rPr>
          <w:i w:val="false"/>
          <w:sz w:val="21"/>
        </w:rPr>
        <w:t>Known limitations of concordance measures for censored survival outcomes informed interpretation [16]. Kaplan–Meier estimation was used for observed risks and censoring distributions [17].</w:t>
      </w:r>
    </w:p>
    <w:p>
      <w:pPr>
        <w:pStyle w:val="Normal"/>
        <w:spacing w:lineRule="auto" w:line="252" w:before="0" w:after="100"/>
        <w:rPr/>
      </w:pPr>
      <w:r>
        <w:rPr/>
        <w:t>All five primary scores were evaluated in the same temporal-validation cohort. Harrell C-index quantified rank discrimination [18]. Participant-level bootstrap resampling with 2,000 replicates (seed 20260821) provided percentile 95% confidence intervals for each C-index and paired confidence intervals for prespecified C-index contrasts. Cox HRs and 95% confidence intervals were estimated after division by each score's temporal-cohort sample standard deviation. Fits were checked for convergence. Pearson correlation summarized association with chronological age.</w:t>
      </w:r>
    </w:p>
    <w:p>
      <w:pPr>
        <w:pStyle w:val="Normal"/>
        <w:spacing w:lineRule="auto" w:line="252" w:before="0" w:after="100"/>
        <w:rPr/>
      </w:pPr>
      <w:r>
        <w:rPr>
          <w:i w:val="false"/>
          <w:sz w:val="21"/>
        </w:rPr>
        <w:t>The proportional-hazards assumption was evaluated with rank-time Schoenfeld tests and scaled Schoenfeld residuals [19]. A prespecified descriptive flag used p&lt;0.01 without multiplicity adjustment. Separate diagnostic extended Cox models included standardized score × log(time/60 months) interactions as related time-varying-effect diagnostics [19]. These temporal-cohort fits assessed time variation only and neither replaced nor recalibrated the development-derived prediction model.</w:t>
      </w:r>
    </w:p>
    <w:p>
      <w:pPr>
        <w:pStyle w:val="Normal"/>
        <w:spacing w:lineRule="auto" w:line="252" w:before="0" w:after="100"/>
        <w:rPr/>
      </w:pPr>
      <w:r>
        <w:rPr/>
        <w:t>Absolute mortality probabilities at 5 and 8 years were calculated from the development-cohort Cox coefficients and baseline survival. Calibration assessment followed established prognostic-model principles [20,21] and included mean predicted risk, Kaplan–Meier observed risk, observed-to-expected ratio, a global Cox calibration slope, decile calibration plots, and horizon-specific logistic calibration. For a horizon t, the binary outcome indicated death by t. Participants with known status at t contributed directly. Those censored before t were weighted using inverse probabilities from the temporal-validation censoring Kaplan–Meier estimate [22]. A weighted logistic regression of the binary outcome on the logit of the fixed predicted risk, using those censoring weights, estimated the calibration intercept and slope. The same IPCW scheme was used for the Brier score at each horizon [22]. These references support the general survival-calibration and censoring-adjustment principles rather than defining this exact implementation. Temporal outcomes supplied evaluation weights and outcomes only. Prediction coefficients and baseline survival remained development-derived, and no temporal recalibration occurred.</w:t>
      </w:r>
    </w:p>
    <w:p>
      <w:pPr>
        <w:pStyle w:val="Normal"/>
        <w:spacing w:lineRule="auto" w:line="252" w:before="0" w:after="100"/>
        <w:rPr/>
      </w:pPr>
      <w:r>
        <w:rPr>
          <w:i w:val="false"/>
          <w:sz w:val="21"/>
        </w:rPr>
        <w:t>As censoring-robust discrimination checks, Uno IPCW C truncated at 5 and 8 years [23] and cumulative/dynamic AUC [24] were calculated using the development cohort to estimate the censoring distribution. Follow-up support was summarized with reverse Kaplan–Meier follow-up and numbers at risk. These analyses were diagnostics of the fixed predictions rather than model-training steps.</w:t>
      </w:r>
    </w:p>
    <w:p>
      <w:pPr>
        <w:pStyle w:val="Heading1"/>
        <w:rPr/>
      </w:pPr>
      <w:r>
        <w:rPr/>
        <w:t>Results</w:t>
      </w:r>
    </w:p>
    <w:p>
      <w:pPr>
        <w:pStyle w:val="Heading2"/>
        <w:rPr/>
      </w:pPr>
      <w:r>
        <w:rPr/>
        <w:t>Cohort construction and selection</w:t>
      </w:r>
    </w:p>
    <w:p>
      <w:pPr>
        <w:pStyle w:val="Normal"/>
        <w:spacing w:lineRule="auto" w:line="252" w:before="0" w:after="100"/>
        <w:rPr/>
      </w:pPr>
      <w:r>
        <w:rPr>
          <w:i w:val="false"/>
          <w:sz w:val="21"/>
        </w:rPr>
        <w:t>The cohort flow was 92,062 source-cycle participants, 53,255 mortality-eligible participants (9,104 deaths), and 19,829 biomarker-complete participants (2,936 deaths). The analytic cohort split into 13,090 development participants (2,520 deaths) and 6,739 temporal-validation participants (416 deaths) (Figure 1 and Table 1).</w:t>
      </w:r>
    </w:p>
    <w:p>
      <w:pPr>
        <w:pStyle w:val="Normal"/>
        <w:spacing w:lineRule="auto" w:line="252" w:before="0" w:after="100"/>
        <w:rPr/>
      </w:pPr>
      <w:r>
        <w:rPr/>
        <w:t>Among mortality-eligible participants, included participants had mean age 47.0 years (SD 19.1), were 50.6% female, had 2,936 deaths (14.8%), and had median follow-up of 124 months. The 33,426 excluded participants had mean age 47.8 years (SD 19.9), were 52.5% female, had 6,168 deaths (18.5%), and had median follow-up of 122 months. Complete-case selection therefore retained a group with a lower observed death proportion, limiting generalization beyond the analytic cohort (Supplementary Table S7).</w:t>
      </w:r>
    </w:p>
    <w:p>
      <w:pPr>
        <w:pStyle w:val="Normal"/>
        <w:spacing w:lineRule="auto" w:line="252" w:before="0" w:after="100"/>
        <w:rPr/>
      </w:pPr>
      <w:r>
        <w:rPr/>
        <w:t>Temporal-validation reverse Kaplan–Meier median follow-up was 74 months. There were 4,461 participants at risk at 5 years and 1,137 at 8 years, so the 8-year evaluation was supported by a smaller and less precise tail.</w:t>
      </w:r>
    </w:p>
    <w:p>
      <w:pPr>
        <w:pStyle w:val="Heading2"/>
        <w:rPr/>
      </w:pPr>
      <w:r>
        <w:rPr/>
        <w:t>Discrimination, mortality association, and age correlation</w:t>
      </w:r>
    </w:p>
    <w:p>
      <w:pPr>
        <w:pStyle w:val="Normal"/>
        <w:spacing w:lineRule="auto" w:line="252" w:before="0" w:after="100"/>
        <w:rPr/>
      </w:pPr>
      <w:r>
        <w:rPr/>
        <w:t>DemoRisk provided most of the discrimination attributable to the model components, with C-index 0.827 (bootstrap 95% CI 0.804–0.847), HR 3.736 per temporal-cohort SD (95% CI 3.347–4.170), and age correlation 0.970 (Table 2). PhysioRisk, by contrast, remained only weakly correlated with age (r=0.106) but retained a mortality association, with C-index 0.654 (95% CI 0.624–0.685) and HR 1.387 (95% CI 1.338–1.439). Thus removing age-associated biomarker structure reduced standalone discrimination without eliminating prognostic information.</w:t>
      </w:r>
    </w:p>
    <w:p>
      <w:pPr>
        <w:pStyle w:val="Normal"/>
        <w:spacing w:lineRule="auto" w:line="252" w:before="0" w:after="100"/>
        <w:rPr/>
      </w:pPr>
      <w:r>
        <w:rPr/>
        <w:t>Recombining the two components improved overall risk ranking. CalibratedTotalRisk had C-index 0.843 (95% CI 0.822–0.863), HR 3.259 (95% CI 3.036–3.498), and age correlation 0.946. It exceeded DemoRisk by ΔC=0.0163 (paired 95% CI 0.0111–0.0220), indicating a small but supported increment from the physiological component.</w:t>
      </w:r>
    </w:p>
    <w:p>
      <w:pPr>
        <w:pStyle w:val="Normal"/>
        <w:spacing w:lineRule="auto" w:line="252" w:before="0" w:after="100"/>
        <w:rPr/>
      </w:pPr>
      <w:r>
        <w:rPr/>
        <w:t>PhenoAge NCP had C-index 0.841 (95% CI 0.819–0.861), HR 3.976 (95% CI 3.637–4.347), and age correlation 0.961. The difference between CalibratedTotalRisk and PhenoAge NCP was ΔC=0.0021 (paired 95% CI −0.0033 to 0.0075). The temporal data therefore did not establish a discrimination difference between the two total-risk scores.</w:t>
      </w:r>
    </w:p>
    <w:p>
      <w:pPr>
        <w:pStyle w:val="Normal"/>
        <w:spacing w:lineRule="auto" w:line="252" w:before="0" w:after="100"/>
        <w:rPr/>
      </w:pPr>
      <w:r>
        <w:rPr/>
        <w:t>PhenoAge NCP acceleration had C-index 0.638 (95% CI 0.606–0.668), HR 1.432 (95% CI 1.360–1.508), and age correlation 0.033. PhysioRisk exceeded its C-index by 0.0163, but the paired 95% CI included zero (−0.0005 to 0.0329). The physiology-oriented comparison therefore favored PhysioRisk numerically without establishing a difference.</w:t>
      </w:r>
    </w:p>
    <w:p>
      <w:pPr>
        <w:pStyle w:val="Heading2"/>
        <w:rPr/>
      </w:pPr>
      <w:r>
        <w:rPr/>
        <w:t>Fixed-horizon calibration</w:t>
      </w:r>
    </w:p>
    <w:p>
      <w:pPr>
        <w:pStyle w:val="Normal"/>
        <w:spacing w:lineRule="auto" w:line="252" w:before="0" w:after="100"/>
        <w:rPr/>
      </w:pPr>
      <w:r>
        <w:rPr/>
        <w:t>At 5 years, mean predicted mortality from CalibratedTotalRisk was 4.61% and Kaplan–Meier observed mortality was 4.65% (O/E 1.009). At 8 years, the corresponding values were 8.57% and 8.83% (O/E 1.030). Horizon-specific calibration slopes were 0.941 and 0.999, with intercepts −0.101 and 0.067 (Figure 2). These results show close agreement in average risk at both horizons, although the horizon-specific estimates did not have bootstrap confidence intervals. IPCW Brier scores were 0.0378 at 5 years and 0.0602 at 8 years.</w:t>
      </w:r>
    </w:p>
    <w:p>
      <w:pPr>
        <w:pStyle w:val="Normal"/>
        <w:spacing w:lineRule="auto" w:line="252" w:before="0" w:after="100"/>
        <w:rPr/>
      </w:pPr>
      <w:r>
        <w:rPr>
          <w:i w:val="false"/>
          <w:sz w:val="21"/>
        </w:rPr>
        <w:t>The global Cox calibration slope was 0.811 (95% CI 0.762–0.859). Because this summary assumes a constant score effect, it cannot be interpreted simply as overfitting in the presence of the time-varying association reported below.</w:t>
      </w:r>
    </w:p>
    <w:p>
      <w:pPr>
        <w:pStyle w:val="Heading2"/>
        <w:rPr/>
      </w:pPr>
      <w:r>
        <w:rPr/>
        <w:t>Proportional-hazards diagnostics</w:t>
      </w:r>
    </w:p>
    <w:p>
      <w:pPr>
        <w:pStyle w:val="Normal"/>
        <w:spacing w:lineRule="auto" w:line="252" w:before="0" w:after="100"/>
        <w:rPr/>
      </w:pPr>
      <w:r>
        <w:rPr/>
        <w:t>CalibratedTotalRisk violated the strict proportional-hazards assumption (rank-time Schoenfeld statistic 16.54, p=4.76×10⁻⁵). Mean scaled residuals changed from −0.177 at 0–36 months to 0.108 at 37–72 months and 0.161 thereafter. A diagnostic score × log-time model gave an interaction coefficient of 0.171 (95% CI 0.066–0.277, p=0.00150), consistent with an association that strengthened over follow-up. This diagnostic model did not replace the fixed predictor.</w:t>
      </w:r>
    </w:p>
    <w:p>
      <w:pPr>
        <w:pStyle w:val="Normal"/>
        <w:spacing w:lineRule="auto" w:line="252" w:before="0" w:after="100"/>
        <w:rPr/>
      </w:pPr>
      <w:r>
        <w:rPr>
          <w:i w:val="false"/>
          <w:sz w:val="21"/>
        </w:rPr>
        <w:t>DemoRisk (p=0.087) and PhysioRisk (p=0.116) did not show comparable material violations. Their diagnostic log-time interactions were smaller and nonsignificant: 0.084 (p=0.238) for DemoRisk and 0.027 (p=0.364) for PhysioRisk.</w:t>
      </w:r>
    </w:p>
    <w:p>
      <w:pPr>
        <w:pStyle w:val="Heading2"/>
        <w:rPr/>
      </w:pPr>
      <w:r>
        <w:rPr/>
        <w:t>Censoring-robust and missing-data sensitivity analyses</w:t>
      </w:r>
    </w:p>
    <w:p>
      <w:pPr>
        <w:pStyle w:val="Normal"/>
        <w:spacing w:lineRule="auto" w:line="252" w:before="0" w:after="100"/>
        <w:rPr/>
      </w:pPr>
      <w:r>
        <w:rPr/>
        <w:t>At 5 and 8 years, Uno C was 0.839 and 0.843 for CalibratedTotalRisk, 0.823 and 0.827 for DemoRisk, and 0.838 and 0.841 for PhenoAge NCP. Corresponding cumulative/dynamic AUCs were 0.850 and 0.870, 0.834 and 0.853, and 0.850 and 0.875. PhysioRisk Uno C was 0.654 at both horizons. The ordering and overall interpretation were therefore unchanged under censoring-robust metrics.</w:t>
      </w:r>
    </w:p>
    <w:p>
      <w:pPr>
        <w:pStyle w:val="Normal"/>
        <w:spacing w:lineRule="auto" w:line="252" w:before="0" w:after="100"/>
        <w:rPr/>
      </w:pPr>
      <w:r>
        <w:rPr>
          <w:i w:val="false"/>
          <w:sz w:val="21"/>
        </w:rPr>
        <w:t>All 6,739 temporal-validation participants had the biomarkers required for both primary scores. Common complete-case analysis therefore reproduced PhysioRisk and PhenoAge NCP C-indices of 0.654 and 0.841, and common training-derived imputation changed no observations. Cycle-specific preselection missingness and the included/excluded comparison are reported in Supplementary Tables S6–S8.</w:t>
      </w:r>
    </w:p>
    <w:p>
      <w:pPr>
        <w:pStyle w:val="Heading1"/>
        <w:rPr/>
      </w:pPr>
      <w:r>
        <w:rPr/>
        <w:t>Discussion</w:t>
      </w:r>
    </w:p>
    <w:p>
      <w:pPr>
        <w:pStyle w:val="Heading2"/>
        <w:rPr/>
      </w:pPr>
      <w:r>
        <w:rPr/>
        <w:t>Principal findings</w:t>
      </w:r>
    </w:p>
    <w:p>
      <w:pPr>
        <w:pStyle w:val="Normal"/>
        <w:spacing w:lineRule="auto" w:line="252" w:before="0" w:after="100"/>
        <w:rPr/>
      </w:pPr>
      <w:r>
        <w:rPr/>
        <w:t>We evaluated whether mortality risk could be represented as two related but distinguishable quantities: demographic mortality structure associated with age and sex, and physiological variation remaining after biomarkers were adjusted for those variables. DemoRisk captured most of the overall mortality ranking. PhysioRisk had lower standalone discrimination but remained only weakly correlated with age and retained a mortality association. Recombining the components with development-estimated coefficients improved discrimination over DemoRisk alone and yielded performance similar to the PhenoAge no-CRP proxy.</w:t>
      </w:r>
    </w:p>
    <w:p>
      <w:pPr>
        <w:pStyle w:val="Normal"/>
        <w:spacing w:lineRule="auto" w:line="252" w:before="0" w:after="100"/>
        <w:rPr/>
      </w:pPr>
      <w:r>
        <w:rPr/>
        <w:t>The central finding is that measurable mortality-associated physiological heterogeneity remained after age- and sex-associated biomarker structure was removed. That component added prognostic information when returned to demographic risk while remaining separately observable. This supports the decomposition as an interpretable representation of mortality risk rather than evidence that PhysioRisk is a superior mortality predictor.</w:t>
      </w:r>
    </w:p>
    <w:p>
      <w:pPr>
        <w:pStyle w:val="Normal"/>
        <w:spacing w:lineRule="auto" w:line="252" w:before="0" w:after="100"/>
        <w:rPr/>
      </w:pPr>
      <w:r>
        <w:rPr/>
        <w:t>Low correlation with chronological age demonstrates statistical separation from age, not independence from biological aging. PhysioRisk should therefore be understood as a summary of mortality-associated physiological deviation conditional on age and sex rather than a direct measure of biological age.</w:t>
      </w:r>
    </w:p>
    <w:p>
      <w:pPr>
        <w:pStyle w:val="Heading2"/>
        <w:rPr/>
      </w:pPr>
      <w:r>
        <w:rPr/>
        <w:t>Interpreting demographic and physiological risk separately</w:t>
      </w:r>
    </w:p>
    <w:p>
      <w:pPr>
        <w:pStyle w:val="Normal"/>
        <w:spacing w:lineRule="auto" w:line="252" w:before="0" w:after="100"/>
        <w:rPr/>
      </w:pPr>
      <w:r>
        <w:rPr/>
        <w:t>Chronological age is one of the strongest predictors of mortality, so removing it simply to make a score less age-correlated would discard useful information. The interpretive problem arises when total mortality risk and physiological condition are treated as the same quantity. DemoRisk describes position on the mortality gradient associated with age and sex, whereas PhysioRisk asks whether measured physiology is more or less adverse than expected for someone of the same age and sex. The components can therefore be examined separately or recombined when overall mortality prediction is the objective.</w:t>
      </w:r>
    </w:p>
    <w:p>
      <w:pPr>
        <w:pStyle w:val="Normal"/>
        <w:spacing w:lineRule="auto" w:line="252" w:before="0" w:after="100"/>
        <w:rPr/>
      </w:pPr>
      <w:r>
        <w:rPr/>
        <w:t>The lower standalone discrimination of PhysioRisk is expected because residualization intentionally removes age-associated biomarker structure that is highly predictive of mortality. Its relevant test is whether this residual physiological information remains associated with mortality and adds information when returned to demographic risk. Both were observed here.</w:t>
      </w:r>
    </w:p>
    <w:p>
      <w:pPr>
        <w:pStyle w:val="Normal"/>
        <w:spacing w:lineRule="auto" w:line="252" w:before="0" w:after="100"/>
        <w:rPr/>
      </w:pPr>
      <w:r>
        <w:rPr/>
        <w:t>More generally, total mortality prediction and characterization of physiological deviation are related but distinct objectives. Age correlation, component-specific discrimination, mortality association, and incremental performance after recombination therefore provide complementary information about the source of a score's predictive signal.</w:t>
      </w:r>
    </w:p>
    <w:p>
      <w:pPr>
        <w:pStyle w:val="Heading2"/>
        <w:rPr/>
      </w:pPr>
      <w:r>
        <w:rPr/>
        <w:t>Relationship to biological-age and acceleration approaches</w:t>
      </w:r>
    </w:p>
    <w:p>
      <w:pPr>
        <w:pStyle w:val="Normal"/>
        <w:spacing w:lineRule="auto" w:line="252" w:before="0" w:after="100"/>
        <w:rPr/>
      </w:pPr>
      <w:r>
        <w:rPr/>
        <w:t>PhysioRisk differs from age-acceleration approaches in the stage at which adjustment occurs. Acceleration measures remove chronological-age structure from an already assembled biological-age or mortality score, whereas PhysioRisk removes age- and sex-associated structure from individual physiological measurements before they are combined and related to mortality. Because residualization and multivariable risk modeling are not generally interchangeable, the resulting signals need not be the same [1–4].</w:t>
      </w:r>
    </w:p>
    <w:p>
      <w:pPr>
        <w:pStyle w:val="Normal"/>
        <w:spacing w:lineRule="auto" w:line="252" w:before="0" w:after="100"/>
        <w:rPr/>
      </w:pPr>
      <w:r>
        <w:rPr/>
        <w:t>The comparison with PhenoAge NCP acceleration was consistent with this distinction. PhysioRisk had slightly higher discrimination, but the paired confidence interval included zero and the hazard gradients were similar. The present data therefore do not establish that PhysioRisk is a stronger physiology-only mortality predictor.</w:t>
      </w:r>
    </w:p>
    <w:p>
      <w:pPr>
        <w:pStyle w:val="Normal"/>
        <w:spacing w:lineRule="auto" w:line="252" w:before="0" w:after="100"/>
        <w:rPr/>
      </w:pPr>
      <w:r>
        <w:rPr/>
        <w:t>The total-risk comparison was likewise neutral. CalibratedTotalRisk and PhenoAge NCP had similar discrimination, so decomposition did not obviously reduce risk ranking but did not improve it either. This comparison remains limited because PhenoAge NCP omits CRP and is not the complete published PhenoAge implementation [4].</w:t>
      </w:r>
    </w:p>
    <w:p>
      <w:pPr>
        <w:pStyle w:val="Heading2"/>
        <w:rPr/>
      </w:pPr>
      <w:r>
        <w:rPr/>
        <w:t>Physiological axes and interpretability</w:t>
      </w:r>
    </w:p>
    <w:p>
      <w:pPr>
        <w:pStyle w:val="Normal"/>
        <w:spacing w:lineRule="auto" w:line="252" w:before="0" w:after="100"/>
        <w:rPr/>
      </w:pPr>
      <w:r>
        <w:rPr/>
        <w:t>The two retained physiological axes provide another level at which the model can be inspected. HematologicStress summarizes residual variation in white blood cell count, lymphocyte percentage, mean corpuscular volume, and red cell distribution width. RenalHepaticTurnover summarizes creatinine, albumin, and alkaline phosphatase after age- and sex-associated trends have been removed.</w:t>
      </w:r>
    </w:p>
    <w:p>
      <w:pPr>
        <w:pStyle w:val="Normal"/>
        <w:spacing w:lineRule="auto" w:line="252" w:before="0" w:after="100"/>
        <w:rPr/>
      </w:pPr>
      <w:r>
        <w:rPr/>
        <w:t>The labels are descriptive summaries of correlated clinical measurements, not claims of discrete biological systems or causal mechanisms. Their constituent biomarkers span hematopoietic, inflammatory, erythrocyte, renal, protein-homeostasis, and hepatobiliary processes. Aggregating them makes coordinated physiological variation inspectable without assigning causality to particular organ systems.</w:t>
      </w:r>
    </w:p>
    <w:p>
      <w:pPr>
        <w:pStyle w:val="Normal"/>
        <w:spacing w:lineRule="auto" w:line="252" w:before="0" w:after="100"/>
        <w:rPr/>
      </w:pPr>
      <w:r>
        <w:rPr/>
        <w:t>That interpretation is consistent with the physiological-dysregulation literature, which emphasizes coordinated disturbance across systems [5–7]. PhysioRisk approaches the same broad problem through survival modeling, asking which age- and sex-adjusted physiological deviations retain mortality information. The two-axis structure should therefore be regarded as a parsimonious implementation of the decomposition framework rather than a definitive taxonomy of aging physiology.</w:t>
      </w:r>
    </w:p>
    <w:p>
      <w:pPr>
        <w:pStyle w:val="Heading2"/>
        <w:rPr/>
      </w:pPr>
      <w:r>
        <w:rPr/>
        <w:t>Recombination, calibration, and time dependence</w:t>
      </w:r>
    </w:p>
    <w:p>
      <w:pPr>
        <w:pStyle w:val="Normal"/>
        <w:spacing w:lineRule="auto" w:line="252" w:before="0" w:after="100"/>
        <w:rPr/>
      </w:pPr>
      <w:r>
        <w:rPr/>
        <w:t>Because DemoRisk and PhysioRisk occupy different numerical scales, their relative contributions to overall mortality risk were estimated jointly in the development cohort. The resulting combination was then applied unchanged in temporal validation.</w:t>
      </w:r>
    </w:p>
    <w:p>
      <w:pPr>
        <w:pStyle w:val="Normal"/>
        <w:spacing w:lineRule="auto" w:line="252" w:before="0" w:after="100"/>
        <w:rPr/>
      </w:pPr>
      <w:r>
        <w:rPr/>
        <w:t>In temporal validation, the physiological component provided a small but supported increment in discrimination over DemoRisk alone, while CalibratedTotalRisk remained similar to PhenoAge NCP. Thus the decomposition preserved overall risk ranking while keeping demographic and physiological contributions separately observable.</w:t>
      </w:r>
    </w:p>
    <w:p>
      <w:pPr>
        <w:pStyle w:val="Normal"/>
        <w:spacing w:lineRule="auto" w:line="252" w:before="0" w:after="100"/>
        <w:rPr/>
      </w:pPr>
      <w:r>
        <w:rPr/>
        <w:t>Fixed-horizon calibration was close in the temporal cohort at both 5 and 8 years, and IPCW Brier scores and censoring-robust discrimination gave conclusions similar to conventional concordance. The 8-year estimate was less precise because fewer participants remained at risk [20–24].</w:t>
      </w:r>
    </w:p>
    <w:p>
      <w:pPr>
        <w:pStyle w:val="Normal"/>
        <w:spacing w:lineRule="auto" w:line="252" w:before="0" w:after="100"/>
        <w:rPr/>
      </w:pPr>
      <w:r>
        <w:rPr/>
        <w:t>CalibratedTotalRisk nevertheless violated the strict proportional-hazards assumption. Schoenfeld-residual and log-time diagnostics indicated that its mortality association strengthened over follow-up [19]. This limits interpretation of a single constant hazard ratio and means the global Cox calibration slope should not be read simply as overfitting. Reasonable fixed-horizon prediction can coexist with a relative hazard association that changes with time.</w:t>
      </w:r>
    </w:p>
    <w:p>
      <w:pPr>
        <w:pStyle w:val="Normal"/>
        <w:spacing w:lineRule="auto" w:line="252" w:before="0" w:after="100"/>
        <w:rPr/>
      </w:pPr>
      <w:r>
        <w:rPr/>
        <w:t>The mechanism underlying that time dependence cannot be determined here. DemoRisk and PhysioRisk individually did not show comparable statistically significant time interactions, so future validation should examine time-specific performance rather than assume that a single proportional-hazards summary fully characterizes the composite.</w:t>
      </w:r>
    </w:p>
    <w:p>
      <w:pPr>
        <w:pStyle w:val="Heading2"/>
        <w:rPr/>
      </w:pPr>
      <w:r>
        <w:rPr/>
        <w:t>Implications</w:t>
      </w:r>
    </w:p>
    <w:p>
      <w:pPr>
        <w:pStyle w:val="Normal"/>
        <w:spacing w:lineRule="auto" w:line="252" w:before="0" w:after="100"/>
        <w:rPr/>
      </w:pPr>
      <w:r>
        <w:rPr/>
        <w:t>Interpretability in mortality modeling need not require discarding chronological age, nor does strong prediction require demographic and physiological information to be collapsed into an inseparable score. For prognosis, the combined score is generally the relevant object. For questions about physiological heterogeneity among people of similar age and sex, the residual physiological component may be more informative even though its standalone discrimination is lower. In this setting, PhysioRisk prevents chronological age from answering a physiological question by proxy.</w:t>
      </w:r>
    </w:p>
    <w:p>
      <w:pPr>
        <w:pStyle w:val="Normal"/>
        <w:rPr/>
      </w:pPr>
      <w:r>
        <w:rPr/>
        <w:t>One potentially important application is longitudinal response assessment. Because PhysioRisk summarizes mortality-associated physiological deviation conditional on age and sex, repeated measurements could provide an intermediate readout before hard clinical outcomes accrue. At the individual level, change in PhysioRisk could provide a starting or interim measure of response. At the population level, shifts in its distribution could help characterize response heterogeneity. These uses require longitudinal validation of within-person reliability, responsiveness, and the relationship between change in PhysioRisk and subsequent outcomes.</w:t>
      </w:r>
    </w:p>
    <w:p>
      <w:pPr>
        <w:pStyle w:val="Normal"/>
        <w:spacing w:lineRule="auto" w:line="252" w:before="0" w:after="100"/>
        <w:rPr/>
      </w:pPr>
      <w:r>
        <w:rPr/>
        <w:t>The results also suggest a reporting principle for mortality-trained aging measures. Discrimination alone does not reveal whether a model's signal is predominantly demographic, physiological, or both. Reporting age dependence, mortality association, calibration, and incremental performance can make these contributions more explicit.</w:t>
      </w:r>
    </w:p>
    <w:p>
      <w:pPr>
        <w:pStyle w:val="Heading2"/>
        <w:rPr/>
      </w:pPr>
      <w:r>
        <w:rPr/>
        <w:t>Limitations</w:t>
      </w:r>
    </w:p>
    <w:p>
      <w:pPr>
        <w:pStyle w:val="Normal"/>
        <w:spacing w:lineRule="auto" w:line="252" w:before="0" w:after="100"/>
        <w:rPr/>
      </w:pPr>
      <w:r>
        <w:rPr>
          <w:i w:val="false"/>
          <w:sz w:val="21"/>
        </w:rPr>
        <w:t>The principal limitation is that the 2011–2016 evaluation is an internal temporal validation within NHANES rather than external validation in an independent population. Later survey cycles provide a meaningful test across calendar time, but they remain within the same broad survey, laboratory, and mortality-linkage ecosystem. Independent external validation is therefore required before claims of transportability or clinical use can be made.</w:t>
      </w:r>
    </w:p>
    <w:p>
      <w:pPr>
        <w:pStyle w:val="Normal"/>
        <w:spacing w:lineRule="auto" w:line="252" w:before="0" w:after="100"/>
        <w:rPr/>
      </w:pPr>
      <w:r>
        <w:rPr>
          <w:i w:val="false"/>
          <w:sz w:val="21"/>
        </w:rPr>
        <w:t>The analysis also used an unweighted complete-case cohort rather than the full mortality-eligible NHANES sample. Of 53,255 mortality-eligible participants, 19,829 had the complete biomarker information required for the benchmark analysis. The 33,426 excluded participants had a higher observed death proportion than included participants, and biomarker missingness varied across survey cycles. The reported estimates therefore characterize the analytic cohort and should not be interpreted as population-representative NHANES estimates.</w:t>
      </w:r>
    </w:p>
    <w:p>
      <w:pPr>
        <w:pStyle w:val="Normal"/>
        <w:spacing w:lineRule="auto" w:line="252" w:before="0" w:after="100"/>
        <w:rPr/>
      </w:pPr>
      <w:r>
        <w:rPr/>
        <w:t>The benchmark comparator was a PhenoAge no-CRP proxy rather than the complete published implementation, so the comparison cannot establish superiority or equivalence to full PhenoAge. The physiological axes are statistical summaries of a limited panel of routine biomarkers, and other biomarker sets or modeling choices could capture different dimensions of physiological heterogeneity. The historical sequence leading to selection of the final two axes is incompletely reconstructed, so the temporal cohort cannot be regarded as a pristine never-examined holdout for every aspect of model selection. The preserved final scoring path is reproducible, and the CalibratedTotalRisk coefficients were estimated in development only.</w:t>
      </w:r>
    </w:p>
    <w:p>
      <w:pPr>
        <w:pStyle w:val="Normal"/>
        <w:spacing w:lineRule="auto" w:line="252" w:before="0" w:after="100"/>
        <w:rPr/>
      </w:pPr>
      <w:r>
        <w:rPr>
          <w:i w:val="false"/>
          <w:sz w:val="21"/>
        </w:rPr>
        <w:t>Low correlation with chronological age demonstrates successful statistical adjustment, not causal separation from aging. Residualized biomarkers may continue to reflect age-related biological processes, disease burden, medication use, environmental exposures, socioeconomic factors, cohort effects, and measurement variation not represented by chronological age and sex alone.</w:t>
      </w:r>
    </w:p>
    <w:p>
      <w:pPr>
        <w:pStyle w:val="Normal"/>
        <w:spacing w:lineRule="auto" w:line="252" w:before="0" w:after="100"/>
        <w:rPr/>
      </w:pPr>
      <w:r>
        <w:rPr>
          <w:i w:val="false"/>
          <w:sz w:val="21"/>
        </w:rPr>
        <w:t>Finally, calibration uncertainty was not bootstrapped at the individual fixed horizons, proportional hazards did not hold strictly for CalibratedTotalRisk, subgroup performance and clinical decision utility were not evaluated, and the 8-year estimates were supported by a relatively small tail of the temporal cohort. Participants excluded from the locked benchmark were not scored because the exact historical residualization and axis parameters needed to extend the preserved score outside the retained scoring path are unavailable. These issues should be addressed alongside external validation before the framework is considered for clinical prediction.</w:t>
      </w:r>
    </w:p>
    <w:p>
      <w:pPr>
        <w:pStyle w:val="Heading2"/>
        <w:rPr/>
      </w:pPr>
      <w:r>
        <w:rPr/>
        <w:t>Conclusions</w:t>
      </w:r>
    </w:p>
    <w:p>
      <w:pPr>
        <w:pStyle w:val="Normal"/>
        <w:spacing w:lineRule="auto" w:line="252" w:before="0" w:after="100"/>
        <w:rPr/>
      </w:pPr>
      <w:r>
        <w:rPr>
          <w:i w:val="false"/>
          <w:sz w:val="21"/>
        </w:rPr>
        <w:t>Mortality risk associated with demographic position need not be represented by the same model component as mortality risk associated with how measured physiology differs from demographic expectation. Within NHANES, age- and sex-adjusted physiological variation retained mortality information, contributed incremental discrimination beyond demographic risk, and could be recombined with DemoRisk to achieve overall discrimination comparable to the no-CRP PhenoAge proxy.</w:t>
      </w:r>
    </w:p>
    <w:p>
      <w:pPr>
        <w:pStyle w:val="Normal"/>
        <w:spacing w:lineRule="auto" w:line="252" w:before="0" w:after="100"/>
        <w:rPr>
          <w:i w:val="false"/>
          <w:sz w:val="21"/>
        </w:rPr>
      </w:pPr>
      <w:r>
        <w:rPr/>
        <w:t>PhysioRisk should therefore be viewed as an interpretable physiological-risk component. Its value lies in making demographic and physiological contributions separately observable while retaining the option to recombine them for total-risk prediction. It is not a replacement for chronological age or a definitive biological-age measure. Whether this decomposition transports beyond NHANES remains the principal question for external validation.</w:t>
      </w:r>
    </w:p>
    <w:p>
      <w:pPr>
        <w:pStyle w:val="Heading1"/>
        <w:rPr/>
      </w:pPr>
      <w:r>
        <w:rPr/>
        <w:t>Declarations</w:t>
      </w:r>
    </w:p>
    <w:p>
      <w:pPr>
        <w:pStyle w:val="Heading2"/>
        <w:rPr/>
      </w:pPr>
      <w:r>
        <w:rPr/>
        <w:t>Ethics approval and consent to participate</w:t>
      </w:r>
    </w:p>
    <w:p>
      <w:pPr>
        <w:pStyle w:val="Normal"/>
        <w:spacing w:lineRule="auto" w:line="252" w:before="0" w:after="100"/>
        <w:rPr/>
      </w:pPr>
      <w:r>
        <w:rPr>
          <w:i w:val="false"/>
          <w:sz w:val="21"/>
        </w:rPr>
        <w:t>This study used publicly available, de-identified NHANES data and public-use linked mortality files. NHANES protocols were approved by the NCHS Research Ethics Review Board, and participants provided informed consent. This secondary analysis did not require additional institutional review board approval.</w:t>
      </w:r>
    </w:p>
    <w:p>
      <w:pPr>
        <w:pStyle w:val="Heading2"/>
        <w:rPr/>
      </w:pPr>
      <w:r>
        <w:rPr/>
        <w:t>Consent for publication</w:t>
      </w:r>
    </w:p>
    <w:p>
      <w:pPr>
        <w:pStyle w:val="Normal"/>
        <w:spacing w:lineRule="auto" w:line="252" w:before="0" w:after="100"/>
        <w:rPr/>
      </w:pPr>
      <w:r>
        <w:rPr>
          <w:i w:val="false"/>
          <w:sz w:val="21"/>
        </w:rPr>
        <w:t>Not applicable.</w:t>
      </w:r>
    </w:p>
    <w:p>
      <w:pPr>
        <w:pStyle w:val="Heading2"/>
        <w:rPr/>
      </w:pPr>
      <w:r>
        <w:rPr/>
        <w:t>Data and code availability</w:t>
      </w:r>
    </w:p>
    <w:p>
      <w:pPr>
        <w:pStyle w:val="Normal"/>
        <w:spacing w:lineRule="auto" w:line="252" w:before="0" w:after="100"/>
        <w:rPr/>
      </w:pPr>
      <w:r>
        <w:rPr>
          <w:i w:val="false"/>
          <w:sz w:val="21"/>
        </w:rPr>
        <w:t xml:space="preserve">NHANES data and public-use linked mortality files are publicly available from the National Center for Health Statistics [12,13]. </w:t>
      </w:r>
      <w:r>
        <w:rPr/>
        <w:t xml:space="preserve">Analysis code, aggregate result tables, supplementary material, and reproducibility and provenance documentation are available at the PhysioRisk repository (https://github.com/allengr220/physiorisk_public). Participant-level analytic datasets and derived score files are not redistributed. Their construction and provenance are documented in the repository. </w:t>
      </w:r>
    </w:p>
    <w:p>
      <w:pPr>
        <w:pStyle w:val="Heading2"/>
        <w:rPr/>
      </w:pPr>
      <w:r>
        <w:rPr/>
        <w:t>Competing interests</w:t>
      </w:r>
    </w:p>
    <w:p>
      <w:pPr>
        <w:pStyle w:val="Normal"/>
        <w:spacing w:lineRule="auto" w:line="252" w:before="0" w:after="100"/>
        <w:rPr/>
      </w:pPr>
      <w:r>
        <w:rPr>
          <w:i w:val="false"/>
          <w:sz w:val="21"/>
        </w:rPr>
        <w:t>The author declares no competing interests.</w:t>
      </w:r>
    </w:p>
    <w:p>
      <w:pPr>
        <w:pStyle w:val="Heading2"/>
        <w:rPr/>
      </w:pPr>
      <w:r>
        <w:rPr/>
        <w:t>Funding</w:t>
      </w:r>
    </w:p>
    <w:p>
      <w:pPr>
        <w:pStyle w:val="Normal"/>
        <w:spacing w:lineRule="auto" w:line="252" w:before="0" w:after="100"/>
        <w:rPr/>
      </w:pPr>
      <w:r>
        <w:rPr>
          <w:i w:val="false"/>
          <w:sz w:val="21"/>
        </w:rPr>
        <w:t>No external funding was received.</w:t>
      </w:r>
    </w:p>
    <w:p>
      <w:pPr>
        <w:pStyle w:val="Heading2"/>
        <w:rPr/>
      </w:pPr>
      <w:r>
        <w:rPr/>
        <w:t>Author contributions</w:t>
      </w:r>
    </w:p>
    <w:p>
      <w:pPr>
        <w:pStyle w:val="Normal"/>
        <w:spacing w:lineRule="auto" w:line="252" w:before="0" w:after="100"/>
        <w:rPr/>
      </w:pPr>
      <w:r>
        <w:rPr>
          <w:i w:val="false"/>
          <w:sz w:val="21"/>
        </w:rPr>
        <w:t>GSA conceived the study, developed the modeling framework, conducted the analyses, interpreted the results, and wrote the manuscript.</w:t>
      </w:r>
    </w:p>
    <w:p>
      <w:pPr>
        <w:pStyle w:val="Normal"/>
        <w:rPr/>
      </w:pPr>
      <w:r>
        <w:rPr/>
      </w:r>
      <w:r>
        <w:br w:type="page"/>
      </w:r>
    </w:p>
    <w:p>
      <w:pPr>
        <w:pStyle w:val="Heading1"/>
        <w:spacing w:before="0" w:after="80"/>
        <w:rPr/>
      </w:pPr>
      <w:r>
        <w:rPr/>
        <w:t>Tables and figures</w:t>
      </w:r>
    </w:p>
    <w:p>
      <w:pPr>
        <w:pStyle w:val="Normal"/>
        <w:spacing w:lineRule="auto" w:line="252" w:before="0" w:after="100"/>
        <w:rPr/>
      </w:pPr>
      <w:r>
        <w:rPr/>
        <w:t>Table 1. Characteristics of the development and temporal-validation cohorts. Statistics were regenerated descriptively from the SHA256-locked scored participant-level parquets. Percentages use cohort size as the denominator. Follow-up is reported in months. Detailed source-cycle counts and the mortality-eligible included/excluded comparison are provided in Supplementary Tables S6 and S7.</w:t>
      </w:r>
    </w:p>
    <w:tbl>
      <w:tblPr>
        <w:tblStyle w:val="TableGrid"/>
        <w:tblW w:w="9993"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31"/>
        <w:gridCol w:w="3331"/>
        <w:gridCol w:w="3331"/>
      </w:tblGrid>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Characteristic</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Development (1999–2010)</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Temporal validation (2011–2016)</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Participants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13,090</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6,739</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Age, mean (SD), years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46.7 (19.5)</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47.6 (18.2)</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Female, n (%)</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6,652 (50.8%)</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3,390 (50.3%)</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Deaths, n (%)</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2,520 (19.3%)</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416 (6.2%)</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Follow-up, median (IQR), months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159 (125–203)</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71 (53–90)</w:t>
            </w:r>
          </w:p>
        </w:tc>
      </w:tr>
    </w:tbl>
    <w:p>
      <w:pPr>
        <w:pStyle w:val="Normal"/>
        <w:rPr/>
      </w:pPr>
      <w:r>
        <w:rPr/>
      </w:r>
    </w:p>
    <w:p>
      <w:pPr>
        <w:pStyle w:val="Normal"/>
        <w:spacing w:lineRule="auto" w:line="252" w:before="0" w:after="100"/>
        <w:rPr/>
      </w:pPr>
      <w:r>
        <w:rPr>
          <w:i w:val="false"/>
          <w:sz w:val="21"/>
        </w:rPr>
        <w:t>Table 2. Model performance in the temporal-validation cohort. All models were evaluated in 6,739 participants with 416 deaths. C-index intervals are percentile intervals from 2,000 participant bootstrap replicates. Hazard ratios are per temporal-validation-cohort standard deviation. Paired intervals for direct C-index contrasts are reported in the Results and Supplementary Table S1.</w:t>
      </w:r>
    </w:p>
    <w:tbl>
      <w:tblPr>
        <w:tblStyle w:val="TableGrid"/>
        <w:tblW w:w="99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98"/>
        <w:gridCol w:w="2498"/>
        <w:gridCol w:w="2498"/>
        <w:gridCol w:w="2498"/>
      </w:tblGrid>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Model</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C-index (95% CI)</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HR per validation SD (95% CI)</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Age correlation</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DemoRisk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0.827 (0.804–0.847)</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3.736 (3.347–4.170)</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0.970</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PhysioRisk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0.654 (0.624–0.685)</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1.387 (1.338–1.439)</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0.106</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CalibratedTotalRisk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0.843 (0.822–0.863)</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3.259 (3.036–3.498)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0.946</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PhenoAge NCP</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0.841 (0.819–0.861)</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3.976 (3.637–4.347)</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0.961</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PhenoAge NCP acceleration</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0.638 (0.606–0.668)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1.432 (1.360–1.508)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0.033</w:t>
            </w:r>
          </w:p>
        </w:tc>
      </w:tr>
    </w:tbl>
    <w:p>
      <w:pPr>
        <w:pStyle w:val="Normal"/>
        <w:rPr/>
      </w:pPr>
      <w:r>
        <w:rPr/>
      </w:r>
    </w:p>
    <w:p>
      <w:pPr>
        <w:pStyle w:val="Normal"/>
        <w:jc w:val="center"/>
        <w:rPr/>
      </w:pPr>
      <w:r>
        <w:rPr/>
        <w:drawing>
          <wp:inline distT="0" distB="0" distL="0" distR="0">
            <wp:extent cx="5943600" cy="3698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3698240"/>
                    </a:xfrm>
                    <a:prstGeom prst="rect">
                      <a:avLst/>
                    </a:prstGeom>
                    <a:noFill/>
                  </pic:spPr>
                </pic:pic>
              </a:graphicData>
            </a:graphic>
          </wp:inline>
        </w:drawing>
      </w:r>
    </w:p>
    <w:p>
      <w:pPr>
        <w:pStyle w:val="Normal"/>
        <w:spacing w:lineRule="auto" w:line="252" w:before="0" w:after="100"/>
        <w:rPr/>
      </w:pPr>
      <w:r>
        <w:rPr>
          <w:i w:val="false"/>
          <w:sz w:val="21"/>
        </w:rPr>
        <w:t>Figure 1. Cohort flow. Flow of NHANES 1999–2016 participants from the source-cycle population through mortality eligibility and biomarker completeness to the development and internal temporal-validation cohorts. Counts of deaths are reported in the text and Table 1.</w:t>
      </w:r>
    </w:p>
    <w:p>
      <w:pPr>
        <w:pStyle w:val="Normal"/>
        <w:jc w:val="center"/>
        <w:rPr/>
      </w:pPr>
      <w:r>
        <w:rPr/>
        <w:drawing>
          <wp:inline distT="0" distB="0" distL="0" distR="0">
            <wp:extent cx="5943600" cy="2661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43600" cy="2661920"/>
                    </a:xfrm>
                    <a:prstGeom prst="rect">
                      <a:avLst/>
                    </a:prstGeom>
                    <a:noFill/>
                  </pic:spPr>
                </pic:pic>
              </a:graphicData>
            </a:graphic>
          </wp:inline>
        </w:drawing>
      </w:r>
    </w:p>
    <w:p>
      <w:pPr>
        <w:pStyle w:val="Normal"/>
        <w:spacing w:lineRule="auto" w:line="252" w:before="0" w:after="100"/>
        <w:rPr/>
      </w:pPr>
      <w:r>
        <w:rPr>
          <w:i w:val="false"/>
          <w:sz w:val="21"/>
        </w:rPr>
        <w:t>Figure 2. Fixed-horizon calibration of CalibratedTotalRisk in temporal validation. Mean predicted mortality and Kaplan–Meier observed mortality are shown by risk decile at 5 and 8 years. The dashed diagonal denotes perfect agreement.</w:t>
      </w:r>
    </w:p>
    <w:p>
      <w:pPr>
        <w:pStyle w:val="Normal"/>
        <w:rPr/>
      </w:pPr>
      <w:r>
        <w:rPr/>
      </w:r>
      <w:r>
        <w:br w:type="page"/>
      </w:r>
    </w:p>
    <w:p>
      <w:pPr>
        <w:pStyle w:val="Heading1"/>
        <w:spacing w:before="0" w:after="80"/>
        <w:rPr/>
      </w:pPr>
      <w:r>
        <w:rPr/>
        <w:t>References</w:t>
      </w:r>
    </w:p>
    <w:p>
      <w:pPr>
        <w:pStyle w:val="Normal"/>
        <w:spacing w:lineRule="auto" w:line="240" w:before="0" w:after="60"/>
        <w:ind w:hanging="216" w:start="216"/>
        <w:rPr/>
      </w:pPr>
      <w:r>
        <w:rPr>
          <w:sz w:val="19"/>
        </w:rPr>
        <w:t>1. Lu AT, Quach A, Wilson JG, Reiner AP, Aviv A, Raj K, et al. DNA methylation GrimAge strongly predicts lifespan and healthspan. Aging (Albany NY). 2019;11(2):303–327. https://doi.org/10.18632/aging.101684</w:t>
      </w:r>
    </w:p>
    <w:p>
      <w:pPr>
        <w:pStyle w:val="Normal"/>
        <w:spacing w:lineRule="auto" w:line="240" w:before="0" w:after="60"/>
        <w:ind w:hanging="216" w:start="216"/>
        <w:rPr/>
      </w:pPr>
      <w:r>
        <w:rPr>
          <w:sz w:val="19"/>
        </w:rPr>
        <w:t>2. Ferrucci L, Levine ME, Kuo PL, Simonsick EM. Time and the metrics of aging. Circulation Research. 2018;123(7):740–744. https://doi.org/10.1161/CIRCRESAHA.118.312816</w:t>
      </w:r>
    </w:p>
    <w:p>
      <w:pPr>
        <w:pStyle w:val="Normal"/>
        <w:spacing w:lineRule="auto" w:line="240" w:before="0" w:after="60"/>
        <w:ind w:hanging="216" w:start="216"/>
        <w:rPr/>
      </w:pPr>
      <w:r>
        <w:rPr>
          <w:sz w:val="19"/>
        </w:rPr>
        <w:t>3. Klemera P, Doubal S. A new approach to the concept and computation of biological age. Mech Ageing Dev. 2006;127(3):240–248. https://doi.org/10.1016/j.mad.2005.10.004</w:t>
      </w:r>
    </w:p>
    <w:p>
      <w:pPr>
        <w:pStyle w:val="Normal"/>
        <w:spacing w:lineRule="auto" w:line="240" w:before="0" w:after="60"/>
        <w:ind w:hanging="216" w:start="216"/>
        <w:rPr/>
      </w:pPr>
      <w:r>
        <w:rPr>
          <w:sz w:val="19"/>
        </w:rPr>
        <w:t>4. Liu Z, Kuo PL, Horvath S, Crimmins E, Ferrucci L, Levine M. A new aging measure captures morbidity and mortality risk across diverse subpopulations from NHANES IV: a cohort study. PLoS Med. 2018;15(12):e1002718. https://doi.org/10.1371/journal.pmed.1002718</w:t>
      </w:r>
    </w:p>
    <w:p>
      <w:pPr>
        <w:pStyle w:val="Normal"/>
        <w:spacing w:lineRule="auto" w:line="240" w:before="0" w:after="60"/>
        <w:ind w:hanging="216" w:start="216"/>
        <w:rPr/>
      </w:pPr>
      <w:r>
        <w:rPr>
          <w:sz w:val="19"/>
        </w:rPr>
        <w:t>5. Cohen AA, Milot E, Li Q, et al. A novel statistical approach shows evidence for multi-system physiological dysregulation during aging. Mech Ageing Dev. 2013;134(3–4):110–117. https://doi.org/10.1016/j.mad.2013.01.004</w:t>
      </w:r>
    </w:p>
    <w:p>
      <w:pPr>
        <w:pStyle w:val="Normal"/>
        <w:spacing w:lineRule="auto" w:line="240" w:before="0" w:after="60"/>
        <w:ind w:hanging="216" w:start="216"/>
        <w:rPr/>
      </w:pPr>
      <w:r>
        <w:rPr>
          <w:sz w:val="19"/>
        </w:rPr>
        <w:t>6. Milot E, Cohen AA, Li Q, et al. Relationships between physiological dysregulation and health outcomes in aging: trajectories and mortality associations. Mech Ageing Dev. 2014;141–142:7–16. https://doi.org/10.1016/j.mad.2014.10.001</w:t>
      </w:r>
    </w:p>
    <w:p>
      <w:pPr>
        <w:pStyle w:val="Normal"/>
        <w:spacing w:lineRule="auto" w:line="240" w:before="0" w:after="60"/>
        <w:ind w:hanging="216" w:start="216"/>
        <w:rPr/>
      </w:pPr>
      <w:r>
        <w:rPr>
          <w:sz w:val="19"/>
        </w:rPr>
        <w:t>7. Cohen AA, Li Q, Milot E, et al. Statistical distance as a measure of physiological dysregulation is largely robust to variation in its biomarker composition. PLoS One. 2015;10(4):e0122541. https://doi.org/10.1371/journal.pone.0122541</w:t>
      </w:r>
    </w:p>
    <w:p>
      <w:pPr>
        <w:pStyle w:val="Normal"/>
        <w:spacing w:lineRule="auto" w:line="240" w:before="0" w:after="60"/>
        <w:ind w:hanging="216" w:start="216"/>
        <w:rPr/>
      </w:pPr>
      <w:r>
        <w:rPr>
          <w:sz w:val="19"/>
        </w:rPr>
        <w:t>8. Vaupel JW, Manton KG, Stallard E. The impact of heterogeneity in individual frailty on the dynamics of mortality. Demography. 1979;16(3):439–454. https://doi.org/10.2307/2061224</w:t>
      </w:r>
    </w:p>
    <w:p>
      <w:pPr>
        <w:pStyle w:val="Normal"/>
        <w:spacing w:lineRule="auto" w:line="240" w:before="0" w:after="60"/>
        <w:ind w:hanging="216" w:start="216"/>
        <w:rPr/>
      </w:pPr>
      <w:r>
        <w:rPr>
          <w:sz w:val="19"/>
        </w:rPr>
        <w:t>9. Duchateau L, Janssen P. The Frailty Model. New York: Springer; 2007. https://doi.org/10.1007/978-0-387-72835-3</w:t>
      </w:r>
    </w:p>
    <w:p>
      <w:pPr>
        <w:pStyle w:val="Normal"/>
        <w:spacing w:lineRule="auto" w:line="240" w:before="0" w:after="60"/>
        <w:ind w:hanging="216" w:start="216"/>
        <w:rPr/>
      </w:pPr>
      <w:r>
        <w:rPr>
          <w:sz w:val="19"/>
        </w:rPr>
        <w:t>10. Rockwood K, Mitnitski A. Frailty in relation to the accumulation of deficits. J Gerontol A Biol Sci Med Sci. 2007;62(7):722–727. https://doi.org/10.1093/gerona/62.7.722</w:t>
      </w:r>
    </w:p>
    <w:p>
      <w:pPr>
        <w:pStyle w:val="Normal"/>
        <w:spacing w:lineRule="auto" w:line="240" w:before="0" w:after="60"/>
        <w:ind w:hanging="216" w:start="216"/>
        <w:rPr/>
      </w:pPr>
      <w:r>
        <w:rPr>
          <w:sz w:val="19"/>
        </w:rPr>
        <w:t>11. Collins GS, Reitsma JB, Altman DG, Moons KGM. Transparent reporting of a multivariable prediction model for individual prognosis or diagnosis: the TRIPOD statement. Ann Intern Med. 2015;162(1):55–63. https://doi.org/10.7326/M14-0697</w:t>
      </w:r>
    </w:p>
    <w:p>
      <w:pPr>
        <w:pStyle w:val="Normal"/>
        <w:spacing w:lineRule="auto" w:line="240" w:before="0" w:after="60"/>
        <w:ind w:hanging="216" w:start="216"/>
        <w:rPr/>
      </w:pPr>
      <w:r>
        <w:rPr>
          <w:sz w:val="19"/>
        </w:rPr>
        <w:t>12. National Center for Health Statistics. National Health and Nutrition Examination Survey Data. Hyattsville, MD: Centers for Disease Control and Prevention; 1999–2016. Available from: https://www.cdc.gov/nchs/nhanes/</w:t>
      </w:r>
    </w:p>
    <w:p>
      <w:pPr>
        <w:pStyle w:val="Normal"/>
        <w:spacing w:lineRule="auto" w:line="240" w:before="0" w:after="60"/>
        <w:ind w:hanging="216" w:start="216"/>
        <w:rPr/>
      </w:pPr>
      <w:r>
        <w:rPr>
          <w:sz w:val="19"/>
        </w:rPr>
        <w:t>13. National Center for Health Statistics. National Health and Nutrition Examination Survey: public-use linked mortality file description. Hyattsville, MD: Centers for Disease Control and Prevention. Available from: https://www.cdc.gov/nchs/data/datalinkage/public-use-linked-mortality-file-description.pdf</w:t>
      </w:r>
    </w:p>
    <w:p>
      <w:pPr>
        <w:pStyle w:val="Normal"/>
        <w:spacing w:lineRule="auto" w:line="240" w:before="0" w:after="60"/>
        <w:ind w:hanging="216" w:start="216"/>
        <w:rPr/>
      </w:pPr>
      <w:r>
        <w:rPr>
          <w:sz w:val="19"/>
        </w:rPr>
        <w:t>14. Cox DR. Regression models and life-tables. J R Stat Soc Series B Stat Methodol. 1972;34(2):187–220. https://doi.org/10.1111/j.2517-6161.1972.tb00899.x</w:t>
      </w:r>
    </w:p>
    <w:p>
      <w:pPr>
        <w:pStyle w:val="Normal"/>
        <w:spacing w:lineRule="auto" w:line="240" w:before="0" w:after="60"/>
        <w:ind w:hanging="216" w:start="216"/>
        <w:rPr/>
      </w:pPr>
      <w:r>
        <w:rPr>
          <w:sz w:val="19"/>
        </w:rPr>
        <w:t>15. Kleinbaum DG, Klein M. Survival Analysis: A Self-Learning Text. 3rd ed. New York: Springer; 2012. https://doi.org/10.1007/978-1-4419-6646-9</w:t>
      </w:r>
    </w:p>
    <w:p>
      <w:pPr>
        <w:pStyle w:val="Normal"/>
        <w:spacing w:lineRule="auto" w:line="240" w:before="0" w:after="60"/>
        <w:ind w:hanging="216" w:start="216"/>
        <w:rPr/>
      </w:pPr>
      <w:r>
        <w:rPr>
          <w:sz w:val="19"/>
        </w:rPr>
        <w:t>16. Hartman N, Kim S, He K, Kalbfleisch JD. Pitfalls of the concordance index for survival outcomes. Stat Med. 2023;42(13):2179–2190. https://doi.org/10.1002/sim.9717</w:t>
      </w:r>
    </w:p>
    <w:p>
      <w:pPr>
        <w:pStyle w:val="Normal"/>
        <w:spacing w:lineRule="auto" w:line="240" w:before="0" w:after="60"/>
        <w:ind w:hanging="216" w:start="216"/>
        <w:rPr/>
      </w:pPr>
      <w:r>
        <w:rPr>
          <w:sz w:val="19"/>
        </w:rPr>
        <w:t>17. Bewick V, Cheek L, Ball J. Statistics review 12: survival analysis. Crit Care. 2004;8(5):389–394. https://doi.org/10.1186/cc2955</w:t>
      </w:r>
    </w:p>
    <w:p>
      <w:pPr>
        <w:pStyle w:val="Normal"/>
        <w:spacing w:lineRule="auto" w:line="240" w:before="0" w:after="60"/>
        <w:ind w:hanging="216" w:start="216"/>
        <w:rPr/>
      </w:pPr>
      <w:r>
        <w:rPr>
          <w:sz w:val="19"/>
        </w:rPr>
        <w:t>18. Harrell FE Jr, Lee KL, Mark DB. Multivariable prognostic models: issues in developing models, evaluating assumptions and adequacy, and measuring and reducing errors. Stat Med. 1996;15(4):361–387. https://doi.org/10.1002/(SICI)1097-0258(19960229)15:4&lt;361::AID-SIM168&gt;3.0.CO;2-4</w:t>
      </w:r>
    </w:p>
    <w:p>
      <w:pPr>
        <w:pStyle w:val="Normal"/>
        <w:spacing w:lineRule="auto" w:line="240" w:before="0" w:after="60"/>
        <w:ind w:hanging="216" w:start="216"/>
        <w:rPr/>
      </w:pPr>
      <w:r>
        <w:rPr>
          <w:sz w:val="19"/>
        </w:rPr>
        <w:t>19. Grambsch PM, Therneau TM. Proportional hazards tests and diagnostics based on weighted residuals. Biometrika. 1994;81(3):515–526. https://doi.org/10.1093/biomet/81.3.515</w:t>
      </w:r>
    </w:p>
    <w:p>
      <w:pPr>
        <w:pStyle w:val="Normal"/>
        <w:spacing w:lineRule="auto" w:line="240" w:before="0" w:after="60"/>
        <w:ind w:hanging="216" w:start="216"/>
        <w:rPr/>
      </w:pPr>
      <w:r>
        <w:rPr>
          <w:sz w:val="19"/>
        </w:rPr>
        <w:t>20. Crowson CS, Atkinson EJ, Therneau TM. Assessing calibration of prognostic risk scores. Stat Methods Med Res. 2016;25(4):1692–1706. https://doi.org/10.1177/0962280213497434</w:t>
      </w:r>
    </w:p>
    <w:p>
      <w:pPr>
        <w:pStyle w:val="Normal"/>
        <w:spacing w:lineRule="auto" w:line="240" w:before="0" w:after="60"/>
        <w:ind w:hanging="216" w:start="216"/>
        <w:rPr/>
      </w:pPr>
      <w:r>
        <w:rPr>
          <w:sz w:val="19"/>
        </w:rPr>
        <w:t>21. Royston P. Tools for checking calibration of a Cox model in external validation: approach based on individual event probabilities. Stata J. 2014;14(4):738–755. https://doi.org/10.1177/1536867X1401400403</w:t>
      </w:r>
    </w:p>
    <w:p>
      <w:pPr>
        <w:pStyle w:val="Normal"/>
        <w:spacing w:lineRule="auto" w:line="240" w:before="0" w:after="60"/>
        <w:ind w:hanging="216" w:start="216"/>
        <w:rPr/>
      </w:pPr>
      <w:r>
        <w:rPr>
          <w:sz w:val="19"/>
        </w:rPr>
        <w:t>22. Graf E, Schmoor C, Sauerbrei W, Schumacher M. Assessment and comparison of prognostic classification schemes for survival data. Stat Med. 1999;18(17–18):2529–2545. https://doi.org/10.1002/(SICI)1097-0258(19990915/30)18:17/18&lt;2529::AID-SIM274&gt;3.0.CO;2-5</w:t>
      </w:r>
    </w:p>
    <w:p>
      <w:pPr>
        <w:pStyle w:val="Normal"/>
        <w:spacing w:lineRule="auto" w:line="240" w:before="0" w:after="60"/>
        <w:ind w:hanging="216" w:start="216"/>
        <w:rPr/>
      </w:pPr>
      <w:r>
        <w:rPr>
          <w:sz w:val="19"/>
        </w:rPr>
        <w:t>23. Uno H, Cai T, Pencina MJ, D'Agostino RB, Wei LJ. On the C-statistics for evaluating overall adequacy of risk prediction procedures with censored survival data. Stat Med. 2011;30(10):1105–1117. https://doi.org/10.1002/sim.4154</w:t>
      </w:r>
    </w:p>
    <w:p>
      <w:pPr>
        <w:pStyle w:val="Normal"/>
        <w:spacing w:lineRule="auto" w:line="240" w:before="0" w:after="60"/>
        <w:ind w:hanging="216" w:start="216"/>
        <w:rPr/>
      </w:pPr>
      <w:r>
        <w:rPr>
          <w:sz w:val="19"/>
        </w:rPr>
        <w:t>24. Heagerty PJ, Lumley T, Pepe MS. Time-dependent ROC curves for censored survival data and a diagnostic marker. Biometrics. 2000;56(2):337–344. https://doi.org/10.1111/j.0006-341X.2000.00337.x</w:t>
      </w:r>
    </w:p>
    <w:sectPr>
      <w:footerReference w:type="even" r:id="rId4"/>
      <w:footerReference w:type="default" r:id="rId5"/>
      <w:footerReference w:type="first" r:id="rId6"/>
      <w:type w:val="nextPage"/>
      <w:pgSz w:w="12240" w:h="15840"/>
      <w:pgMar w:left="1123" w:right="1123" w:gutter="0" w:header="0" w:top="1080"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Math">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revisionView w:insDel="0" w:formatting="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2" w:before="0" w:after="100"/>
      <w:jc w:val="start"/>
    </w:pPr>
    <w:rPr>
      <w:rFonts w:ascii="Times New Roman" w:hAnsi="Times New Roman"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60" w:after="80"/>
      <w:contextualSpacing/>
    </w:pPr>
    <w:rPr>
      <w:rFonts w:ascii="Calibri" w:hAnsi="Calibri" w:eastAsia="" w:cs="" w:asciiTheme="majorHAnsi" w:cstheme="majorBidi" w:eastAsiaTheme="majorEastAsia" w:hAnsiTheme="majorHAnsi"/>
      <w:b/>
      <w:color w:val="000000"/>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LibreOffice/26.2.6.3$Windows_X86_64 LibreOffice_project/8221e31b3ac356a1623c672912a3d2b492f7e3d1</Application>
  <AppVersion>15.0000</AppVersion>
  <Pages>12</Pages>
  <Words>5887</Words>
  <Characters>39623</Characters>
  <CharactersWithSpaces>45218</CharactersWithSpaces>
  <Paragraphs>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2026-09-27T09:00:48Z</dcterms:modified>
  <cp:revision>3</cp:revision>
  <dc:subject>Allen-style audited manuscript candidate</dc:subject>
  <dc:title>PhysioRisk: an interpretable survival-modeling framework for separating demographic and physiological mortality risk</dc:title>
</cp:coreProperties>
</file>

<file path=docProps/custom.xml><?xml version="1.0" encoding="utf-8"?>
<Properties xmlns="http://schemas.openxmlformats.org/officeDocument/2006/custom-properties" xmlns:vt="http://schemas.openxmlformats.org/officeDocument/2006/docPropsVTypes"/>
</file>