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spacing w:before="1200" w:after="360" w:line="240" w:lineRule="auto"/>
        <w:jc w:val="center"/>
      </w:pPr>
      <w:r>
        <w:rPr>
          <w:rFonts w:ascii="Arial" w:hAnsi="Arial" w:cs="Arial"/>
          <w:b/>
          <w:sz w:val="36"/>
          <w:szCs w:val="36"/>
        </w:rPr>
        <w:t>Supplementary Material</w:t>
      </w:r>
    </w:p>
    <w:p>
      <w:pPr>
        <w:spacing w:before="0" w:after="400" w:line="240" w:lineRule="auto"/>
        <w:jc w:val="center"/>
      </w:pPr>
      <w:r>
        <w:rPr>
          <w:rFonts w:ascii="Arial" w:hAnsi="Arial" w:cs="Arial"/>
          <w:sz w:val="25"/>
          <w:szCs w:val="25"/>
        </w:rPr>
        <w:t>PhysioRisk: an interpretable survival-modeling framework for separating demographic and physiological mortality risk</w:t>
      </w:r>
    </w:p>
    <w:p>
      <w:pPr>
        <w:spacing w:before="0" w:after="0" w:line="240" w:lineRule="auto"/>
        <w:jc w:val="center"/>
      </w:pPr>
      <w:r>
        <w:rPr>
          <w:rFonts w:ascii="Arial" w:hAnsi="Arial" w:cs="Arial"/>
          <w:sz w:val="23"/>
          <w:szCs w:val="23"/>
        </w:rPr>
        <w:t>Gregory S. Allen</w:t>
      </w:r>
    </w:p>
    <w:p>
      <w:pPr>
        <w:spacing w:before="500" w:after="0" w:line="240" w:lineRule="auto"/>
        <w:jc w:val="center"/>
      </w:pPr>
      <w:r>
        <w:rPr>
          <w:rFonts w:ascii="Arial" w:hAnsi="Arial" w:cs="Arial"/>
          <w:i/>
          <w:sz w:val="15"/>
          <w:szCs w:val="15"/>
        </w:rPr>
        <w:t>Numerical values are transcribed from the cited canonical artifacts and rounded only for display; source artifacts retain full precision.</w:t>
      </w:r>
    </w:p>
    <w:p>
      <w:pPr>
        <w:spacing w:before="0" w:after="100" w:line="240" w:lineRule="auto"/>
        <w:pageBreakBefore/>
      </w:pPr>
      <w:r>
        <w:rPr>
          <w:rFonts w:ascii="Arial" w:hAnsi="Arial" w:cs="Arial"/>
          <w:sz w:val="18"/>
          <w:szCs w:val="18"/>
        </w:rPr>
        <w:t/>
      </w:r>
    </w:p>
    <w:p>
      <w:pPr>
        <w:spacing w:before="80" w:after="100" w:line="240" w:lineRule="auto"/>
        <w:keepNext/>
      </w:pPr>
      <w:r>
        <w:rPr>
          <w:rFonts w:ascii="Arial" w:hAnsi="Arial" w:cs="Arial"/>
          <w:b/>
          <w:sz w:val="20"/>
          <w:szCs w:val="20"/>
        </w:rPr>
        <w:t>Supplementary Table S1. Paired C-index contrasts in the temporal-validation cohort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60"/>
        <w:gridCol w:w="1609"/>
        <w:gridCol w:w="1609"/>
        <w:gridCol w:w="1609"/>
        <w:gridCol w:w="1609"/>
        <w:gridCol w:w="1609"/>
        <w:gridCol w:w="1609"/>
        <w:gridCol w:w="1606"/>
      </w:tblGrid>
      <w:tr>
        <w:trPr>
          <w:tblHeader/>
          <w:cantSplit/>
        </w:trPr>
        <w:tc>
          <w:tcPr>
            <w:tcW w:w="386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Contrast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Cohort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ΔC (A − B)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95% CI low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95% CI high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Bootstrap proportion ΔC &gt; 0</w:t>
            </w:r>
          </w:p>
        </w:tc>
        <w:tc>
          <w:tcPr>
            <w:tcW w:w="1609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Replicates</w:t>
            </w:r>
          </w:p>
        </w:tc>
        <w:tc>
          <w:tcPr>
            <w:tcW w:w="160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Seed</w:t>
            </w:r>
          </w:p>
        </w:tc>
      </w:tr>
      <w:tr>
        <w:trPr>
          <w:cantSplit/>
        </w:trPr>
        <w:tc>
          <w:tcPr>
            <w:tcW w:w="386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CalibratedTotalRisk − DemoRisk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0.01628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0.01109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0.02199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1.0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2000</w:t>
            </w:r>
          </w:p>
        </w:tc>
        <w:tc>
          <w:tcPr>
            <w:tcW w:w="160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20260821</w:t>
            </w:r>
          </w:p>
        </w:tc>
      </w:tr>
      <w:tr>
        <w:trPr>
          <w:cantSplit/>
        </w:trPr>
        <w:tc>
          <w:tcPr>
            <w:tcW w:w="386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CalibratedTotalRisk − PhenoAge NCP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0.00205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−0.00326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0.00748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0.776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2000</w:t>
            </w:r>
          </w:p>
        </w:tc>
        <w:tc>
          <w:tcPr>
            <w:tcW w:w="160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20260821</w:t>
            </w:r>
          </w:p>
        </w:tc>
      </w:tr>
      <w:tr>
        <w:trPr>
          <w:cantSplit/>
        </w:trPr>
        <w:tc>
          <w:tcPr>
            <w:tcW w:w="386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PhysioRisk − PhenoAge NCP acceleration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0.01625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−0.00049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0.03285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0.97</w:t>
            </w:r>
          </w:p>
        </w:tc>
        <w:tc>
          <w:tcPr>
            <w:tcW w:w="1609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2000</w:t>
            </w:r>
          </w:p>
        </w:tc>
        <w:tc>
          <w:tcPr>
            <w:tcW w:w="160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20260821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Paired percentile intervals were obtained from 2,000 participant bootstrap replicates in the temporal-validation cohort. Contrast estimates and interval limits are shown to the manuscript’s five-decimal reporting precision; the canonical source artifact retains full precision.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tables/cindex_bootstrap_contrasts.csv.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S2. Proportional-hazards diagnostics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30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2626"/>
      </w:tblGrid>
      <w:tr>
        <w:trPr>
          <w:tblHeader/>
          <w:cantSplit/>
        </w:trPr>
        <w:tc>
          <w:tcPr>
            <w:tcW w:w="263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Model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Cohort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N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Deaths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Time transform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Test statistic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P value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Material violation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Flag rule</w:t>
            </w:r>
          </w:p>
        </w:tc>
        <w:tc>
          <w:tcPr>
            <w:tcW w:w="109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Cox warning</w:t>
            </w:r>
          </w:p>
        </w:tc>
        <w:tc>
          <w:tcPr>
            <w:tcW w:w="2626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Scaled-residual region summary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DemoRisk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temporal_test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6,739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416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rank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2.925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0.08720586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False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p&lt;0.01 (prespecified descriptive flag; no multiplicity adjustment)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none</w:t>
            </w:r>
          </w:p>
        </w:tc>
        <w:tc>
          <w:tcPr>
            <w:tcW w:w="262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early_0_36m: mean=-0.087; middle_37_72m: mean=0.044; late_73m_plus: mean=0.099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PhysioRisk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temporal_test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6,739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416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rank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2.467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0.11627106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False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p&lt;0.01 (prespecified descriptive flag; no multiplicity adjustment)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none</w:t>
            </w:r>
          </w:p>
        </w:tc>
        <w:tc>
          <w:tcPr>
            <w:tcW w:w="262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early_0_36m: mean=-0.035; middle_37_72m: mean=0.013; late_73m_plus: mean=0.052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CalibratedTotalRisk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temporal_test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6,739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416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rank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16.539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0.00004765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True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p&lt;0.01 (prespecified descriptive flag; no multiplicity adjustment)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none</w:t>
            </w:r>
          </w:p>
        </w:tc>
        <w:tc>
          <w:tcPr>
            <w:tcW w:w="262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early_0_36m: mean=-0.177; middle_37_72m: mean=0.108; late_73m_plus: mean=0.161</w:t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HematologicStress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temporal_test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6,739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416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rank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3.852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0.04967436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False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p&lt;0.01 (prespecified descriptive flag; no multiplicity adjustment)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none</w:t>
            </w:r>
          </w:p>
        </w:tc>
        <w:tc>
          <w:tcPr>
            <w:tcW w:w="262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/>
            </w:r>
          </w:p>
        </w:tc>
      </w:tr>
      <w:tr>
        <w:trPr>
          <w:cantSplit/>
        </w:trPr>
        <w:tc>
          <w:tcPr>
            <w:tcW w:w="263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RenalHepaticTurnover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temporal_test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6,739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416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rank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4.304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0.03802453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False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p&lt;0.01 (prespecified descriptive flag; no multiplicity adjustment)</w:t>
            </w:r>
          </w:p>
        </w:tc>
        <w:tc>
          <w:tcPr>
            <w:tcW w:w="109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none</w:t>
            </w:r>
          </w:p>
        </w:tc>
        <w:tc>
          <w:tcPr>
            <w:tcW w:w="2626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/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The prespecified descriptive flag was p&lt;0.01 without multiplicity adjustment. The regional scaled-residual summaries are reported where present in the canonical artifact.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tables/ph_diagnostics.csv.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S3. Diagnostic log-time interaction analyses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80"/>
        <w:gridCol w:w="700"/>
        <w:gridCol w:w="700"/>
        <w:gridCol w:w="1680"/>
        <w:gridCol w:w="168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680"/>
      </w:tblGrid>
      <w:tr>
        <w:trPr>
          <w:tblHeader/>
          <w:cantSplit/>
        </w:trPr>
        <w:tc>
          <w:tcPr>
            <w:tcW w:w="16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Model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N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Deaths</w:t>
            </w:r>
          </w:p>
        </w:tc>
        <w:tc>
          <w:tcPr>
            <w:tcW w:w="16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Score scale</w:t>
            </w:r>
          </w:p>
        </w:tc>
        <w:tc>
          <w:tcPr>
            <w:tcW w:w="16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Time interaction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Reference time (months)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Log HR/SD at 60m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HR/SD at 12m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HR/SD at 60m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HR/SD at 96m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Interaction coefficient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HR multiplier/e-fold time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95% CI low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95% CI high</w:t>
            </w:r>
          </w:p>
        </w:tc>
        <w:tc>
          <w:tcPr>
            <w:tcW w:w="70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P value</w:t>
            </w:r>
          </w:p>
        </w:tc>
        <w:tc>
          <w:tcPr>
            <w:tcW w:w="16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Direction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DemoRisk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6,739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416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actual temporal-cohort SD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score_z * log(time_months/60)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60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1.358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3.399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3.890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4.047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0.084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1.087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−0.055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0.223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0.23794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effect_strengthens_over_time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PhysioRisk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6,739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416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actual temporal-cohort SD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score_z * log(time_months/60)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60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0.356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1.366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1.428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1.446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0.027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1.028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−0.032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0.087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0.36401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effect_strengthens_over_time</w:t>
            </w:r>
          </w:p>
        </w:tc>
      </w:tr>
      <w:tr>
        <w:trPr>
          <w:cantSplit/>
        </w:trPr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CalibratedTotalRisk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6,739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416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actual temporal-cohort SD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score_z * log(time_months/60)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60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1.320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2.842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3.744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4.057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0.171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1.187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0.066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0.277</w:t>
            </w:r>
          </w:p>
        </w:tc>
        <w:tc>
          <w:tcPr>
            <w:tcW w:w="70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0.00150</w:t>
            </w:r>
          </w:p>
        </w:tc>
        <w:tc>
          <w:tcPr>
            <w:tcW w:w="16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effect_strengthens_over_time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These analyses are diagnostic only and did not replace or refit the fixed predictors used in temporal validation.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tables/ph_time_interaction.csv.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S4. Fixed-horizon calibration of CalibratedTotalRisk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  <w:cantSplit/>
        </w:trPr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Horizon (months)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Training baseline survival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Mean predicted mortality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KM observed mortality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Observed − predicted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O/E ratio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Global Cox slope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Global slope CI low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Global slope CI high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Horizon intercept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Horizon slope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IPCW Brier score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IPCW usable N</w:t>
            </w:r>
          </w:p>
        </w:tc>
        <w:tc>
          <w:tcPr>
            <w:tcW w:w="1080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1"/>
                <w:szCs w:val="11"/>
              </w:rPr>
              <w:t>No temporal recalibration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60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0.983687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0.046101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0.046533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0.000432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1.009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0.811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0.762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0.859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−0.101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0.941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0.03776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4,709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True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96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0.966595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0.085710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0.088256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0.002546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1.030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0.811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0.762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0.859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0.067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0.999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0.06018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1,518</w:t>
            </w:r>
          </w:p>
        </w:tc>
        <w:tc>
          <w:tcPr>
            <w:tcW w:w="1080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1"/>
                <w:szCs w:val="11"/>
              </w:rPr>
              <w:t>True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Absolute risks used the development-derived coefficients and baseline survival. Horizon-specific logistic calibration and Brier scores used temporal-test censoring weights for evaluation only; no temporal recalibration occurred.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tables/calibration_fixed_horizons.csv.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S5. Censoring-robust discrimination diagnostics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75"/>
        <w:gridCol w:w="1281"/>
        <w:gridCol w:w="1281"/>
        <w:gridCol w:w="1281"/>
        <w:gridCol w:w="1281"/>
        <w:gridCol w:w="1281"/>
        <w:gridCol w:w="1281"/>
        <w:gridCol w:w="1281"/>
        <w:gridCol w:w="3078"/>
      </w:tblGrid>
      <w:tr>
        <w:trPr>
          <w:tblHeader/>
          <w:cantSplit/>
        </w:trPr>
        <w:tc>
          <w:tcPr>
            <w:tcW w:w="307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Model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Evaluation cohort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Censoring-distribution cohort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Training N for censoring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Test 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Horizon (months)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Uno C (IPCW)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Cumulative/dynamic AUC (IPCW)</w:t>
            </w:r>
          </w:p>
        </w:tc>
        <w:tc>
          <w:tcPr>
            <w:tcW w:w="3078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Implementation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DemoRisk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0.823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0.834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DemoRisk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96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0.827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0.853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PhysioRisk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0.654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0.657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PhysioRisk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96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0.654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0.677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CalibratedTotalRisk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0.850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CalibratedTotalRisk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96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0.843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0.870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0.838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0.850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96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0.841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0.875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 acceleration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0.641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0.655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 acceleration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training (1999-2010)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13,090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96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0.638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0.698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scikit-survival 0.28.0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The development cohort estimated the censoring distribution. These were diagnostics of fixed temporal-test predictions, not model-training steps.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tables/censoring_robust_discrimination.csv.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S6. Cycle-specific preselection biomarker missingness and cohort provenance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43"/>
        <w:gridCol w:w="2043"/>
        <w:gridCol w:w="2043"/>
        <w:gridCol w:w="2043"/>
        <w:gridCol w:w="2043"/>
        <w:gridCol w:w="4905"/>
      </w:tblGrid>
      <w:tr>
        <w:trPr>
          <w:tblHeader/>
          <w:cantSplit/>
        </w:trPr>
        <w:tc>
          <w:tcPr>
            <w:tcW w:w="2043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Cycle start year</w:t>
            </w:r>
          </w:p>
        </w:tc>
        <w:tc>
          <w:tcPr>
            <w:tcW w:w="2043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Biomarker</w:t>
            </w:r>
          </w:p>
        </w:tc>
        <w:tc>
          <w:tcPr>
            <w:tcW w:w="2043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Mortality-eligible N</w:t>
            </w:r>
          </w:p>
        </w:tc>
        <w:tc>
          <w:tcPr>
            <w:tcW w:w="2043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Missing N</w:t>
            </w:r>
          </w:p>
        </w:tc>
        <w:tc>
          <w:tcPr>
            <w:tcW w:w="2043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Missing (%)</w:t>
            </w:r>
          </w:p>
        </w:tc>
        <w:tc>
          <w:tcPr>
            <w:tcW w:w="490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4"/>
                <w:szCs w:val="14"/>
              </w:rPr>
              <w:t>Denominator population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826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15.170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826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15.170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3,168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58.182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762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13.994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732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13.444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732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13.444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826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15.170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1999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5,445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732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13.444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778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12.995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778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12.995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778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12.995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717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11.976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690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11.525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690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11.525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778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12.995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5,987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690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11.525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11.586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11.586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11.586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591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10.535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10.000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10.000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11.586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5,610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10.000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586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10.538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586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10.538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3,137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56.411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557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10.016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535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9.621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535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9.621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586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10.538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535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9.621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10.532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10.548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3,468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55.765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626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10.066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612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9.841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612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9.841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657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10.564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6,219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9.857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8.618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8.618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3,581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55.008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7.680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491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7.542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491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7.542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8.618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2009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6,510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491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7.542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11.968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11.968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3,254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55.633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545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9.318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9.232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9.232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702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12.002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5,849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540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9.232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482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7.902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482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7.902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3,377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55.361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430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7.049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414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6.787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414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6.787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483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7.918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6,100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414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6.787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LBXSAL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600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10.044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LBXSCR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10.060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LBXGLU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3,406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57.014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LBXLYPCT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9.441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LBXMCV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9.424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LBXRDW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9.424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LBXSAPSI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601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10.060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  <w:tr>
        <w:trPr>
          <w:cantSplit/>
        </w:trPr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LBXWBCSI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5,974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563</w:t>
            </w:r>
          </w:p>
        </w:tc>
        <w:tc>
          <w:tcPr>
            <w:tcW w:w="2043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9.424</w:t>
            </w:r>
          </w:p>
        </w:tc>
        <w:tc>
          <w:tcPr>
            <w:tcW w:w="490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4"/>
                <w:szCs w:val="14"/>
              </w:rPr>
              <w:t>mortality_eligible_before_complete_case_restriction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Missingness was quantified within each cycle among mortality-eligible participants before complete-case restriction. The denominator is repeated for each biomarker within a cycle; biomarker-specific missing counts are not joint complete-case exclusions.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tables/missingness_by_cycle.csv.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S7. Mortality-eligible participants included in versus excluded from the benchmark cohort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75"/>
        <w:gridCol w:w="3075"/>
        <w:gridCol w:w="1281"/>
        <w:gridCol w:w="1281"/>
        <w:gridCol w:w="1281"/>
        <w:gridCol w:w="1281"/>
        <w:gridCol w:w="1281"/>
        <w:gridCol w:w="1281"/>
        <w:gridCol w:w="1284"/>
      </w:tblGrid>
      <w:tr>
        <w:trPr>
          <w:tblHeader/>
          <w:cantSplit/>
        </w:trPr>
        <w:tc>
          <w:tcPr>
            <w:tcW w:w="307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Group</w:t>
            </w:r>
          </w:p>
        </w:tc>
        <w:tc>
          <w:tcPr>
            <w:tcW w:w="307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Population definition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Age mean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Age SD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Female (%)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Deaths 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Deaths (%)</w:t>
            </w:r>
          </w:p>
        </w:tc>
        <w:tc>
          <w:tcPr>
            <w:tcW w:w="1284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Median follow-up (months)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benchmark_included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Complete for notebook 01 EXTENDED_16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19,829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47.009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19.050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50.643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2,936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14.807</w:t>
            </w:r>
          </w:p>
        </w:tc>
        <w:tc>
          <w:tcPr>
            <w:tcW w:w="1284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124</w:t>
            </w:r>
          </w:p>
        </w:tc>
      </w:tr>
      <w:tr>
        <w:trPr>
          <w:cantSplit/>
        </w:trPr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excluded_before_benchmark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Missing one or more notebook 01 EXTENDED_16 fields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33,426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47.784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19.862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52.486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6,168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18.453</w:t>
            </w:r>
          </w:p>
        </w:tc>
        <w:tc>
          <w:tcPr>
            <w:tcW w:w="1284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122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Inclusion was defined by completeness for notebook 01’s EXTENDED_16 fields. The two groups partition the 53,255 mortality-eligible participants: 19,829 included and 33,426 excluded.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tables/cohort_included_excluded_characteristics.csv.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S8. Common complete-case and training-derived-imputation sensitivity analyses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81"/>
        <w:gridCol w:w="1281"/>
        <w:gridCol w:w="1281"/>
        <w:gridCol w:w="1281"/>
        <w:gridCol w:w="1281"/>
        <w:gridCol w:w="1281"/>
        <w:gridCol w:w="1281"/>
        <w:gridCol w:w="3075"/>
        <w:gridCol w:w="3078"/>
      </w:tblGrid>
      <w:tr>
        <w:trPr>
          <w:tblHeader/>
          <w:cantSplit/>
        </w:trPr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Analysis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Score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Cohort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N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Deaths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C-index</w:t>
            </w:r>
          </w:p>
        </w:tc>
        <w:tc>
          <w:tcPr>
            <w:tcW w:w="1281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Age correlation</w:t>
            </w:r>
          </w:p>
        </w:tc>
        <w:tc>
          <w:tcPr>
            <w:tcW w:w="307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Missing-data rule</w:t>
            </w:r>
          </w:p>
        </w:tc>
        <w:tc>
          <w:tcPr>
            <w:tcW w:w="3078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3"/>
                <w:szCs w:val="13"/>
              </w:rPr>
              <w:t>Status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common_complete_case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PhysioRisk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416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0.654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0.106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identical participants; all no-CRP comparator and PhysioRisk biomarkers observed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performed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common_complete_case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 (no-CRP proxy)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416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0.841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0.961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identical participants; all no-CRP comparator and PhysioRisk biomarkers observed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performed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common_training_derived_imputation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PhysioRisk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416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0.654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0.106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no-op in retained benchmark because all required biomarkers are observed; upstream imputation cannot be reconstructed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performed as degenerate no-missing sensitivity; extension to excluded source participants not estimable without frozen residualization parameters</w:t>
            </w:r>
          </w:p>
        </w:tc>
      </w:tr>
      <w:tr>
        <w:trPr>
          <w:cantSplit/>
        </w:trPr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common_training_derived_imputation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PhenoAge NCP (no-CRP proxy)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temporal_test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6,739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416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0.841</w:t>
            </w:r>
          </w:p>
        </w:tc>
        <w:tc>
          <w:tcPr>
            <w:tcW w:w="1281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0.961</w:t>
            </w:r>
          </w:p>
        </w:tc>
        <w:tc>
          <w:tcPr>
            <w:tcW w:w="307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no-op in retained benchmark because all required biomarkers are observed; upstream imputation cannot be reconstructed</w:t>
            </w:r>
          </w:p>
        </w:tc>
        <w:tc>
          <w:tcPr>
            <w:tcW w:w="3078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3"/>
                <w:szCs w:val="13"/>
              </w:rPr>
              <w:t>performed as degenerate no-missing sensitivity; extension to excluded source participants not estimable without frozen residualization parameters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All 6,739 temporal-validation participants in the retained benchmark already had the biomarkers required for both scores. Common training-derived imputation was therefore a no-op and changed no observations; extension to excluded source participants was not estimable from the frozen retained scoring path.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tables/comparator_sensitivity.csv.</w:t>
      </w:r>
    </w:p>
    <w:p>
      <w:pPr>
        <w:spacing w:before="80" w:after="100" w:line="240" w:lineRule="auto"/>
        <w:keepNext/>
        <w:pageBreakBefore/>
      </w:pPr>
      <w:r>
        <w:rPr>
          <w:rFonts w:ascii="Arial" w:hAnsi="Arial" w:cs="Arial"/>
          <w:b/>
          <w:sz w:val="20"/>
          <w:szCs w:val="20"/>
        </w:rPr>
        <w:t>Supplementary Table S9. Historical submitted benchmark results retained for provenance only</w:t>
      </w:r>
    </w:p>
    <w:tbl>
      <w:tblPr>
        <w:tblStyle w:val="TableGrid"/>
        <w:tblW w:w="15120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55"/>
        <w:gridCol w:w="2555"/>
        <w:gridCol w:w="1065"/>
        <w:gridCol w:w="2555"/>
        <w:gridCol w:w="1065"/>
        <w:gridCol w:w="1065"/>
        <w:gridCol w:w="1065"/>
        <w:gridCol w:w="1065"/>
        <w:gridCol w:w="1065"/>
        <w:gridCol w:w="1065"/>
      </w:tblGrid>
      <w:tr>
        <w:trPr>
          <w:tblHeader/>
          <w:cantSplit/>
        </w:trPr>
        <w:tc>
          <w:tcPr>
            <w:tcW w:w="255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Status</w:t>
            </w:r>
          </w:p>
        </w:tc>
        <w:tc>
          <w:tcPr>
            <w:tcW w:w="255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Interpretation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Cohort</w:t>
            </w:r>
          </w:p>
        </w:tc>
        <w:tc>
          <w:tcPr>
            <w:tcW w:w="255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Risk score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C-index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HR per 1 SD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HR CI low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HR CI high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P value</w:t>
            </w:r>
          </w:p>
        </w:tc>
        <w:tc>
          <w:tcPr>
            <w:tcW w:w="1065" w:type="dxa"/>
            <w:shd w:fill="D9EAF7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b/>
                <w:sz w:val="12"/>
                <w:szCs w:val="12"/>
              </w:rPr>
              <w:t>Age correlation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test_benchmark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BaselineRisk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0.827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3.736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3.347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4.170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4.38e-122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0.970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test_benchmark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PhysioRisk_2axis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0.654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2.772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2.656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2.893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0.106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test_benchmark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TotalRisk_2axis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0.840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1.877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1.815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1.942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1.08e-293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0.811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test_benchmark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PhenoAge_noCRP_proxy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0.841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3.976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3.637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4.347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3.4e-202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0.961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test_benchmark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PhenoAgeAccel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0.638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1.432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1.360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1.508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3.7e-42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0.033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train_benchmark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BaselineRisk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0.855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4.286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4.097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4.484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0.971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train_benchmark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PhysioRisk_2axis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0.602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1.334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1.295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1.374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1.07e-81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−0.000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train_benchmark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TotalRisk_2axis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0.858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2.427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2.372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2.483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0.790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train_benchmark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PhenoAge_noCRP_proxy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0.864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3.670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3.556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3.787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0.958</w:t>
            </w:r>
          </w:p>
        </w:tc>
      </w:tr>
      <w:tr>
        <w:trPr>
          <w:cantSplit/>
        </w:trPr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historical_submitted_not_current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provenance_only; PhysioRisk HR did not converge and TotalRisk_2axis is the obsolete unit-weight composite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train_benchmark</w:t>
            </w:r>
          </w:p>
        </w:tc>
        <w:tc>
          <w:tcPr>
            <w:tcW w:w="255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PhenoAgeAccel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0.586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1.246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1.219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1.274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1.13e-85</w:t>
            </w:r>
          </w:p>
        </w:tc>
        <w:tc>
          <w:tcPr>
            <w:tcW w:w="1065" w:type="dxa"/>
          </w:tcPr>
          <w:p>
            <w:pPr>
              <w:spacing w:before="0" w:after="0" w:line="180" w:lineRule="auto"/>
            </w:pPr>
            <w:r>
              <w:rPr>
                <w:rFonts w:ascii="Arial" w:hAnsi="Arial" w:cs="Arial"/>
                <w:sz w:val="12"/>
                <w:szCs w:val="12"/>
              </w:rPr>
              <w:t>0.000</w:t>
            </w:r>
          </w:p>
        </w:tc>
      </w:tr>
    </w:tbl>
    <w:p>
      <w:pPr>
        <w:spacing w:before="90" w:after="45" w:line="240" w:lineRule="auto"/>
      </w:pPr>
      <w:r>
        <w:rPr>
          <w:rFonts w:ascii="Arial" w:hAnsi="Arial" w:cs="Arial"/>
          <w:i/>
          <w:sz w:val="14"/>
          <w:szCs w:val="14"/>
        </w:rPr>
        <w:t>Note: Historical provenance only. The historical PhysioRisk hazard-ratio fit did not converge, and TotalRisk_2axis is the obsolete unit-weight composite. These rows are not current manuscript results.</w:t>
      </w:r>
    </w:p>
    <w:p>
      <w:pPr>
        <w:spacing w:before="0" w:after="40" w:line="240" w:lineRule="auto"/>
      </w:pPr>
      <w:r>
        <w:rPr>
          <w:rFonts w:ascii="Arial" w:hAnsi="Arial" w:cs="Arial"/>
          <w:sz w:val="13"/>
          <w:szCs w:val="13"/>
        </w:rPr>
        <w:t>Provenance: manuscript/generated/table_s9_historical_submitted_results.csv (generated by scripts/build_s4_manuscript_assets.py from tables/physiorisk_vs_phenoage_aligned_comparison.csv).</w:t>
      </w:r>
    </w:p>
    <w:sectPr>
      <w:pgSz w:w="15840" w:h="12240" w:orient="landscape"/>
      <w:pgMar w:top="504" w:right="360" w:bottom="504" w:left="360" w:header="240" w:footer="24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 Math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100"/>
      <w:jc w:val="start"/>
    </w:pPr>
    <w:rPr>
      <w:rFonts w:ascii="Times New Roman" w:hAnsi="Times New Roman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8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60" w:after="80"/>
      <w:contextualSpacing/>
    </w:pPr>
    <w:rPr>
      <w:rFonts w:ascii="Calibri" w:hAnsi="Calibri" w:eastAsia="" w:cs="" w:asciiTheme="majorHAnsi" w:cstheme="majorBidi" w:eastAsiaTheme="majorEastAsia" w:hAnsiTheme="majorHAnsi"/>
      <w:b/>
      <w:color w:val="000000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13</Pages>
  <Words>6358</Words>
  <Characters>42752</Characters>
  <CharactersWithSpaces>48813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>Allen-style audited manuscript candidate</dc:subject>
  <dc:title>PhysioRisk: an interpretable survival-modeling framework for separating demographic and physiological mortality risk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