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20"/>
        <w:jc w:val="center"/>
        <w:rPr/>
      </w:pPr>
      <w:r>
        <w:rPr>
          <w:i/>
          <w:sz w:val="21"/>
        </w:rPr>
        <w:t>Independent researcher, Cuenca, Ecuador</w:t>
      </w:r>
    </w:p>
    <w:p>
      <w:pPr>
        <w:pStyle w:val="Normal"/>
        <w:spacing w:lineRule="auto" w:line="252" w:before="0" w:after="20"/>
        <w:jc w:val="center"/>
        <w:rPr/>
      </w:pPr>
      <w:r>
        <w:rPr>
          <w:i w:val="false"/>
          <w:sz w:val="21"/>
        </w:rPr>
        <w:t>Corresponding author: Gregory S. Allen</w:t>
      </w:r>
    </w:p>
    <w:p>
      <w:pPr>
        <w:pStyle w:val="Normal"/>
        <w:spacing w:lineRule="auto" w:line="252" w:before="0" w:after="180"/>
        <w:jc w:val="center"/>
        <w:rPr/>
      </w:pPr>
      <w:r>
        <w:rPr>
          <w:i w:val="false"/>
          <w:sz w:val="21"/>
        </w:rPr>
        <w:t>Email: allengr220@gmail.com</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 physiological component adjusted for age and sex while preserving prognostic information.</w:t>
      </w:r>
    </w:p>
    <w:p>
      <w:pPr>
        <w:pStyle w:val="Normal"/>
        <w:spacing w:lineRule="auto" w:line="252" w:before="0" w:after="100"/>
        <w:rPr/>
      </w:pPr>
      <w:r>
        <w:rPr>
          <w:b/>
        </w:rPr>
        <w:t>Methods:</w:t>
      </w:r>
      <w:r>
        <w:rPr>
          <w:i w:val="false"/>
          <w:sz w:val="21"/>
        </w:rPr>
        <w:t xml:space="preserve"> We analyzed unweighted mortality-linked NHANES 1999–2016 data. DemoRisk was an age- and sex-based Cox predictor trained in 1999–2010. PhysioRisk was derived from development-residualized biomarkers summarized in two physiological axes and applied unchanged to 2011–2016 data for temporal validation. CalibratedTotalRisk recombined the fixed components using development-estimated coefficients. We assessed hazard ratios, Harrell C-index with bootstrap confidence intervals, paired C-index contrasts, proportional-hazards diagnostics, fixed-horizon calibration, IPCW Brier scores, and censoring-robust discrimination. We compared PhysioRisk to PhenoAge NCP, a no-CRP proxy.</w:t>
      </w:r>
    </w:p>
    <w:p>
      <w:pPr>
        <w:pStyle w:val="Normal"/>
        <w:spacing w:lineRule="auto" w:line="252" w:before="0" w:after="100"/>
        <w:rPr/>
      </w:pPr>
      <w:r>
        <w:rPr>
          <w:b/>
        </w:rPr>
        <w:t>Results:</w:t>
      </w:r>
      <w:r>
        <w:rPr>
          <w:i w:val="false"/>
          <w:sz w:val="21"/>
        </w:rPr>
        <w:t xml:space="preserve"> Of 92,062 source-cycle participants, 19,829 formed the biomarker-complete cohort: 13,090 for development and 6,739 for temporal validation. PhysioRisk showed low age correlation (r=0.106), C-index 0.654, and HR 1.387 per SD. CalibratedTotalRisk had C-index 0.843, exceeding DemoRisk by 0.016 (95% CI 0.011–0.022), while differing from PhenoAge NCP by only 0.002 (95% CI −0.003 to 0.007). Five- and 8-year predicted mortality matched observed mortality.</w:t>
      </w:r>
    </w:p>
    <w:p>
      <w:pPr>
        <w:pStyle w:val="Normal"/>
        <w:spacing w:lineRule="auto" w:line="252" w:before="0" w:after="100"/>
        <w:rPr/>
      </w:pPr>
      <w:r>
        <w:rPr>
          <w:b/>
        </w:rPr>
        <w:t>Conclusions:</w:t>
      </w:r>
      <w:r>
        <w:rPr>
          <w:i w:val="false"/>
          <w:sz w:val="21"/>
        </w:rPr>
        <w:t xml:space="preserve"> Age- and sex-adjusted physiology retained mortality information and improved discrimination when recombined with demographic risk. Explicit demographic–physiological decomposition preserved useful risk ranking without evidence of superiority over PhenoAge NCP. Findings remain internally validated within NHANES, and external validation is required.</w:t>
      </w:r>
    </w:p>
    <w:p>
      <w:pPr>
        <w:pStyle w:val="Normal"/>
        <w:spacing w:lineRule="auto" w:line="252" w:before="0" w:after="160"/>
        <w:rPr/>
      </w:pPr>
      <w:r>
        <w:rPr>
          <w:b/>
        </w:rPr>
        <w:t>Keywords:</w:t>
      </w:r>
      <w:r>
        <w:rPr>
          <w:i w:val="false"/>
          <w:sz w:val="21"/>
        </w:rPr>
        <w:t xml:space="preserve"> mortality prediction; survival analysis; physiological aging; biomarkers; NHANES; risk decomposition</w:t>
      </w:r>
    </w:p>
    <w:p>
      <w:pPr>
        <w:pStyle w:val="Heading1"/>
        <w:rPr/>
      </w:pPr>
      <w:r>
        <w:rPr/>
        <w:t>Introduction</w:t>
      </w:r>
    </w:p>
    <w:p>
      <w:pPr>
        <w:pStyle w:val="Normal"/>
        <w:spacing w:lineRule="auto" w:line="252" w:before="0" w:after="100"/>
        <w:rPr/>
      </w:pPr>
      <w:r>
        <w:rPr>
          <w:i w:val="false"/>
          <w:sz w:val="21"/>
        </w:rPr>
        <w:t>All-cause mortality is decidedly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(Ferrucci et al. 2018; Klemera and Doubal 2006; Liu et al. 2018; Lu et al. 2019).</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(Liu et al. 2018). Epigenetic mortality predictors such as GrimAge likewise emphasize prognosis, although their molecular inputs and interpretation differ substantially (Lu et al. 2019). Physiological dysregulation methods instead measure multivariate departure from an empirically defined reference state and have shown that aging-related risk can emerge from coordinated changes across physiological systems (Cohen et al. 2013, 2015; Milot et al. 2014). Frailty and deficit-accumulation approaches similarly emphasize heterogeneity among individuals of the same chronological age (Duchateau and Janssen 2007; Rockwood and Mitnitski 2007; Vaupel et al. 1979). These articles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t>We examined whether this decomposition remained useful under internal temporal validation. Specifically, we asked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(Collins et al. 2015).</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60" w:after="100"/>
        <w:jc w:val="center"/>
        <w:rPr/>
      </w:pPr>
      <w:r>
        <w:rPr>
          <w:rFonts w:ascii="Cambria Math" w:hAnsi="Cambria Math"/>
          <w:i/>
          <w:sz w:val="22"/>
        </w:rPr>
        <w:t>h</w:t>
      </w:r>
      <w:r>
        <w:rPr>
          <w:rFonts w:ascii="Cambria Math" w:hAnsi="Cambria Math"/>
          <w:i/>
          <w:sz w:val="22"/>
          <w:vertAlign w:val="subscript"/>
        </w:rPr>
        <w:t>i</w:t>
      </w:r>
      <w:r>
        <w:rPr>
          <w:rFonts w:ascii="Cambria Math" w:hAnsi="Cambria Math"/>
          <w:sz w:val="22"/>
        </w:rPr>
        <w:t xml:space="preserve">(t) = </w:t>
      </w:r>
      <w:r>
        <w:rPr>
          <w:rFonts w:ascii="Cambria Math" w:hAnsi="Cambria Math"/>
          <w:i/>
          <w:sz w:val="22"/>
        </w:rPr>
        <w:t>h</w:t>
      </w:r>
      <w:r>
        <w:rPr>
          <w:rFonts w:ascii="Cambria Math" w:hAnsi="Cambria Math"/>
          <w:i w:val="false"/>
          <w:sz w:val="22"/>
          <w:vertAlign w:val="subscript"/>
        </w:rPr>
        <w:t>0</w:t>
      </w:r>
      <w:r>
        <w:rPr>
          <w:rFonts w:ascii="Cambria Math" w:hAnsi="Cambria Math"/>
          <w:sz w:val="22"/>
        </w:rPr>
        <w:t xml:space="preserve">(t) </w:t>
      </w:r>
      <w:r>
        <w:rPr>
          <w:rFonts w:ascii="Cambria Math" w:hAnsi="Cambria Math"/>
          <w:i w:val="false"/>
          <w:sz w:val="22"/>
        </w:rPr>
        <w:t>exp</w:t>
      </w:r>
      <w:r>
        <w:rPr>
          <w:rFonts w:ascii="Cambria Math" w:hAnsi="Cambria Math"/>
          <w:sz w:val="22"/>
        </w:rPr>
        <w:t>(</w:t>
      </w:r>
      <w:r>
        <w:rPr>
          <w:rFonts w:ascii="Cambria Math" w:hAnsi="Cambria Math"/>
          <w:i/>
          <w:sz w:val="22"/>
        </w:rPr>
        <w:t>η</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t xml:space="preserve">where </w:t>
      </w:r>
      <w:r>
        <w:rPr>
          <w:rFonts w:ascii="Cambria Math" w:hAnsi="Cambria Math"/>
          <w:i/>
          <w:sz w:val="22"/>
        </w:rPr>
        <w:t>h</w:t>
      </w:r>
      <w:r>
        <w:rPr>
          <w:rFonts w:ascii="Cambria Math" w:hAnsi="Cambria Math"/>
          <w:i w:val="false"/>
          <w:sz w:val="22"/>
          <w:vertAlign w:val="subscript"/>
        </w:rPr>
        <w:t>0</w:t>
      </w:r>
      <w:r>
        <w:rPr>
          <w:rFonts w:ascii="Cambria Math" w:hAnsi="Cambria Math"/>
          <w:i/>
          <w:sz w:val="22"/>
        </w:rPr>
        <w:t>(t)</w:t>
      </w:r>
      <w:r>
        <w:rPr/>
        <w:t xml:space="preserve"> is the unspecified baseline hazard and </w:t>
      </w:r>
      <w:r>
        <w:rPr>
          <w:rFonts w:ascii="Cambria Math" w:hAnsi="Cambria Math"/>
          <w:i/>
          <w:sz w:val="22"/>
        </w:rPr>
        <w:t>η</w:t>
      </w:r>
      <w:r>
        <w:rPr>
          <w:rFonts w:ascii="Cambria Math" w:hAnsi="Cambria Math"/>
          <w:i/>
          <w:sz w:val="22"/>
          <w:vertAlign w:val="subscript"/>
        </w:rPr>
        <w:t>i</w:t>
      </w:r>
      <w:r>
        <w:rPr/>
        <w:t xml:space="preserve"> is the individual's covariate-dependent linear predictor (Cox 1972; Kleinbaum and Klein 2012).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60" w:after="100"/>
        <w:jc w:val="center"/>
        <w:rPr/>
      </w:pPr>
      <w:r>
        <w:rPr>
          <w:rFonts w:ascii="Cambria Math" w:hAnsi="Cambria Math"/>
          <w:i/>
          <w:sz w:val="22"/>
        </w:rPr>
        <w:t>η</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D</w:t>
      </w:r>
      <w:r>
        <w:rPr>
          <w:rFonts w:ascii="Cambria Math" w:hAnsi="Cambria Math"/>
          <w:sz w:val="22"/>
        </w:rPr>
        <w:t xml:space="preserve"> </w:t>
      </w:r>
      <w:r>
        <w:rPr>
          <w:rFonts w:ascii="Cambria Math" w:hAnsi="Cambria Math"/>
          <w:i/>
          <w:sz w:val="22"/>
        </w:rPr>
        <w:t>D</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P</w:t>
      </w:r>
      <w:r>
        <w:rPr>
          <w:rFonts w:ascii="Cambria Math" w:hAnsi="Cambria Math"/>
          <w:sz w:val="22"/>
        </w:rPr>
        <w:t xml:space="preserve">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t xml:space="preserve">where </w:t>
      </w:r>
      <w:r>
        <w:rPr>
          <w:rFonts w:ascii="Cambria Math" w:hAnsi="Cambria Math"/>
          <w:i/>
          <w:sz w:val="22"/>
        </w:rPr>
        <w:t>D</w:t>
      </w:r>
      <w:r>
        <w:rPr>
          <w:rFonts w:ascii="Cambria Math" w:hAnsi="Cambria Math"/>
          <w:i/>
          <w:sz w:val="22"/>
          <w:vertAlign w:val="subscript"/>
        </w:rPr>
        <w:t>i</w:t>
      </w:r>
      <w:r>
        <w:rPr/>
        <w:t xml:space="preserve"> denotes DemoRisk and </w:t>
      </w:r>
      <w:r>
        <w:rPr>
          <w:rFonts w:ascii="Cambria Math" w:hAnsi="Cambria Math"/>
          <w:i/>
          <w:sz w:val="22"/>
        </w:rPr>
        <w:t>P</w:t>
      </w:r>
      <w:r>
        <w:rPr>
          <w:rFonts w:ascii="Cambria Math" w:hAnsi="Cambria Math"/>
          <w:i/>
          <w:sz w:val="22"/>
          <w:vertAlign w:val="subscript"/>
        </w:rPr>
        <w:t>i</w:t>
      </w:r>
      <w:r>
        <w:rPr/>
        <w:t xml:space="preserve"> denotes PhysioRisk. The coefficients </w:t>
      </w:r>
      <w:r>
        <w:rPr>
          <w:rFonts w:ascii="Cambria Math" w:hAnsi="Cambria Math"/>
          <w:i/>
          <w:sz w:val="22"/>
        </w:rPr>
        <w:t>β</w:t>
      </w:r>
      <w:r>
        <w:rPr>
          <w:rFonts w:ascii="Cambria Math" w:hAnsi="Cambria Math"/>
          <w:i/>
          <w:sz w:val="22"/>
          <w:vertAlign w:val="subscript"/>
        </w:rPr>
        <w:t>D</w:t>
      </w:r>
      <w:r>
        <w:rPr/>
        <w:t xml:space="preserve"> and </w:t>
      </w:r>
      <w:r>
        <w:rPr>
          <w:rFonts w:ascii="Cambria Math" w:hAnsi="Cambria Math"/>
          <w:i/>
          <w:sz w:val="22"/>
        </w:rPr>
        <w:t>β</w:t>
      </w:r>
      <w:r>
        <w:rPr>
          <w:rFonts w:ascii="Cambria Math" w:hAnsi="Cambria Math"/>
          <w:i/>
          <w:sz w:val="22"/>
          <w:vertAlign w:val="subscript"/>
        </w:rPr>
        <w:t>P</w:t>
      </w:r>
      <w:r>
        <w:rPr/>
        <w:t xml:space="preserve"> are estimated jointly in the development cohort, and their frozen weighted combination defines CalibratedTotalRisk. The relative numerical scales of the demographic and physiological scores need not be equal. Standardizing one component therefore does not justify adding the two with unit weights.</w:t>
      </w:r>
    </w:p>
    <w:p>
      <w:pPr>
        <w:pStyle w:val="Normal"/>
        <w:spacing w:lineRule="auto" w:line="252" w:before="0" w:after="100"/>
        <w:rPr/>
      </w:pPr>
      <w:r>
        <w:rPr/>
        <w:t xml:space="preserve">DemoRisk is derived from a Cox model containing spline-transformed chronological age and sex. PhysioRisk is constructed differently. For each biomarker </w:t>
      </w:r>
      <w:r>
        <w:rPr>
          <w:rFonts w:ascii="Cambria Math" w:hAnsi="Cambria Math"/>
          <w:i/>
          <w:sz w:val="22"/>
        </w:rPr>
        <w:t>X</w:t>
      </w:r>
      <w:r>
        <w:rPr>
          <w:rFonts w:ascii="Cambria Math" w:hAnsi="Cambria Math"/>
          <w:i/>
          <w:sz w:val="22"/>
          <w:vertAlign w:val="subscript"/>
        </w:rPr>
        <w:t>j</w:t>
      </w:r>
      <w:r>
        <w:rPr/>
        <w:t>, the expected value conditional on age and sex is estimated in the development cohort:</w:t>
      </w:r>
    </w:p>
    <w:p>
      <w:pPr>
        <w:pStyle w:val="Normal"/>
        <w:spacing w:before="60" w:after="100"/>
        <w:jc w:val="center"/>
        <w:rPr/>
      </w:pPr>
      <w:r>
        <w:rPr>
          <w:rFonts w:ascii="Cambria Math" w:hAnsi="Cambria Math"/>
          <w:i w:val="false"/>
          <w:sz w:val="22"/>
        </w:rPr>
        <w:t>E</w:t>
      </w:r>
      <w:r>
        <w:rPr>
          <w:rFonts w:ascii="Cambria Math" w:hAnsi="Cambria Math"/>
          <w:sz w:val="22"/>
        </w:rPr>
        <w:t>(</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The residual</w:t>
      </w:r>
    </w:p>
    <w:p>
      <w:pPr>
        <w:pStyle w:val="Normal"/>
        <w:spacing w:before="60" w:after="100"/>
        <w:jc w:val="center"/>
        <w:rPr/>
      </w:pP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t xml:space="preserve">This distinction also clarifies the relationship to biological-age acceleration measures. If </w:t>
      </w:r>
      <w:r>
        <w:rPr>
          <w:rFonts w:ascii="Cambria Math" w:hAnsi="Cambria Math"/>
          <w:i/>
          <w:sz w:val="22"/>
        </w:rPr>
        <w:t>B</w:t>
      </w:r>
      <w:r>
        <w:rPr>
          <w:rFonts w:ascii="Cambria Math" w:hAnsi="Cambria Math"/>
          <w:i/>
          <w:sz w:val="22"/>
          <w:vertAlign w:val="subscript"/>
        </w:rPr>
        <w:t>i</w:t>
      </w:r>
      <w:r>
        <w:rPr/>
        <w:t xml:space="preserve"> is an aggregate mortality-trained biological-age score, an acceleration measure can be represented schematically as</w:t>
      </w:r>
    </w:p>
    <w:p>
      <w:pPr>
        <w:pStyle w:val="Normal"/>
        <w:spacing w:before="60" w:after="100"/>
        <w:jc w:val="center"/>
        <w:rPr/>
      </w:pPr>
      <w:r>
        <w:rPr>
          <w:rFonts w:ascii="Cambria Math" w:hAnsi="Cambria Math"/>
          <w:i/>
          <w:sz w:val="22"/>
        </w:rPr>
        <w:t>A</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E</w:t>
      </w:r>
      <w:r>
        <w:rPr>
          <w:rFonts w:ascii="Cambria Math" w:hAnsi="Cambria Math"/>
          <w:sz w:val="22"/>
        </w:rPr>
        <w:t>(</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60" w:after="100"/>
        <w:jc w:val="center"/>
        <w:rPr/>
      </w:pP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physiological axes →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(Liu et al. 2018).</w:t>
      </w:r>
    </w:p>
    <w:p>
      <w:pPr>
        <w:pStyle w:val="Normal"/>
        <w:spacing w:lineRule="auto" w:line="252" w:before="0" w:after="100"/>
        <w:rPr/>
      </w:pPr>
      <w:r>
        <w:rPr/>
        <w:t>The framework is motivated by long-standing evidence of mortality heterogeneity among individuals of the same chronological age (Duchateau and Janssen 2007; Rockwood and Mitnitski 2007; Vaupel et al. 1979) and by work describing aging as multisystem physiological dysregulation (Cohen et al. 2013, 2015; Milot et al. 2014). PhysioRisk makes part of that heterogeneity observable through routine clinical biomarkers. PhysioRisk therefore captures mortality-associated physiological variation conditional on age and sex. It should not be interpreted as a direct measure of frailty or biological age, nor as a causal estimate of aging.</w:t>
      </w:r>
    </w:p>
    <w:p>
      <w:pPr>
        <w:pStyle w:val="Normal"/>
        <w:spacing w:lineRule="auto" w:line="252" w:before="0" w:after="100"/>
        <w:rPr/>
      </w:pPr>
      <w:r>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t>Data came from nine continuous NHANES cycles from 1999–2000 through 2015–2016 (National Center for Health Statistics 1999–2016). The source-cycle union contained 92,062 participants. Records were linked one-to-one by participant identifier to the 2019 public-use linked mortality files (National Center for Health Statistics 2022).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Normal"/>
        <w:spacing w:lineRule="auto" w:line="252" w:before="0" w:after="100"/>
        <w:rPr/>
      </w:pPr>
      <w:r>
        <w:rPr>
          <w:i w:val="false"/>
          <w:sz w:val="21"/>
        </w:rPr>
        <w:t>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(Cox 1972; Kleinbaum and Klein 2012)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t>The preserved final scoring and evaluation path contains a fixed two-axis score applied unchanged in temporal validation. The earlier sequence of decisions leading to selection of the two axes is incompletely reconstructed, so we cannot establish that every earlier model-selection decision was made without reference to later-cycle outcomes.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60" w:after="100"/>
        <w:jc w:val="center"/>
        <w:rPr/>
      </w:pPr>
      <w:r>
        <w:rPr>
          <w:rFonts w:ascii="Cambria Math" w:hAnsi="Cambria Math"/>
          <w:i w:val="false"/>
          <w:sz w:val="22"/>
        </w:rPr>
        <w:t>CalibratedTotalRisk</w:t>
      </w:r>
      <w:r>
        <w:rPr>
          <w:rFonts w:ascii="Cambria Math" w:hAnsi="Cambria Math"/>
          <w:sz w:val="22"/>
        </w:rPr>
        <w:t xml:space="preserve"> = 1.0587 × </w:t>
      </w:r>
      <w:r>
        <w:rPr>
          <w:rFonts w:ascii="Cambria Math" w:hAnsi="Cambria Math"/>
          <w:i w:val="false"/>
          <w:sz w:val="22"/>
        </w:rPr>
        <w:t>DemoRisk</w:t>
      </w:r>
      <w:r>
        <w:rPr>
          <w:rFonts w:ascii="Cambria Math" w:hAnsi="Cambria Math"/>
          <w:sz w:val="22"/>
        </w:rPr>
        <w:t xml:space="preserve"> + 0.3564 × </w:t>
      </w:r>
      <w:r>
        <w:rPr>
          <w:rFonts w:ascii="Cambria Math" w:hAnsi="Cambria Math"/>
          <w:i w:val="false"/>
          <w:sz w:val="22"/>
        </w:rPr>
        <w:t>PhysioRisk</w:t>
      </w:r>
    </w:p>
    <w:p>
      <w:pPr>
        <w:pStyle w:val="Normal"/>
        <w:spacing w:lineRule="auto" w:line="252" w:before="0" w:after="100"/>
        <w:rPr/>
      </w:pPr>
      <w:r>
        <w:rPr/>
        <w:t>Both coefficients were estimated jointly in an unpenalized Cox model (Cox 1972; Kleinbaum and Klein 2012) using only the development cohort and were then fixed for temporal validation. Neither coefficient was selected using temporal-validation performance. The displayed coefficients are rounded to four decimal places. Full-precision values are retained in the analysis artifacts.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(Liu et al. 2018)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(Hartman et al. 2023). Kaplan–Meier estimation was used for observed risks and censoring distributions (Bewick et al. 2004).</w:t>
      </w:r>
    </w:p>
    <w:p>
      <w:pPr>
        <w:pStyle w:val="Normal"/>
        <w:spacing w:lineRule="auto" w:line="252" w:before="0" w:after="100"/>
        <w:rPr/>
      </w:pPr>
      <w:r>
        <w:rPr/>
        <w:t>All five primary scores were evaluated in the same temporal-validation cohort. Harrell C-index quantified rank discrimination (Harrell et al. 1996).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(Grambsch and Therneau 1994). A prespecified descriptive flag used p&lt;0.01 without multiplicity adjustment. Separate diagnostic extended Cox models included standardized score × log(time/60 months) interactions as related time-varying-effect diagnostics (Grambsch and Therneau 1994). These temporal-cohort fits assessed time variation only and neither replaced nor recalibrated the development-derived prediction model.</w:t>
      </w:r>
    </w:p>
    <w:p>
      <w:pPr>
        <w:pStyle w:val="Normal"/>
        <w:spacing w:lineRule="auto" w:line="252" w:before="0" w:after="100"/>
        <w:rPr/>
      </w:pPr>
      <w:r>
        <w:rPr/>
        <w:t>Absolute mortality probabilities at 5 and 8 years were calculated from the development-cohort Cox coefficients and baseline survival. Calibration assessment followed established prognostic-model principles (Crowson et al. 2016; Royston 2014)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(Graf et al. 1999). A weighted logistic regression of the binary outcome on the logit of the fixed predicted risk, using those censoring weights, estimated the calibration intercept and slope. The same IPCW scheme was used for the Brier score at each horizon (Graf et al. 1999).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(Uno et al. 2011) and cumulative/dynamic AUC (Heagerty et al. 2000)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t>Among mortality-eligible participants, included participants had mean age 47.0 years (SD 19.1), were 50.6% female, had 2,936 deaths (14.8%), and had median follow-up of 124 months. The 33,426 excluded participants had mean age 47.8 years (SD 19.9), were 52.5% female, had 6,168 deaths (18.5%),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t>Temporal-validation reverse Kaplan–Meier median follow-up was 74 months. There were 4,461 participants at risk at 5 years and 1,137 at 8 years, so the 8-year evaluation was supported by a smaller and less precise tail.</w:t>
      </w:r>
    </w:p>
    <w:p>
      <w:pPr>
        <w:pStyle w:val="Heading2"/>
        <w:rPr/>
      </w:pPr>
      <w:r>
        <w:rPr/>
        <w:t>Discrimination, mortality association, and age correlation</w:t>
      </w:r>
    </w:p>
    <w:p>
      <w:pPr>
        <w:pStyle w:val="Normal"/>
        <w:spacing w:lineRule="auto" w:line="252" w:before="0" w:after="100"/>
        <w:rPr/>
      </w:pPr>
      <w:r>
        <w:rPr/>
        <w:t>DemoRisk provided most of the discrimination attributable to the model components, with C-index 0.827 (bootstrap 95% CI 0.804–0.847), HR 3.736 per temporal-cohort SD (95% CI 3.347–4.170), and age correlation 0.970 (Table 2). PhysioRisk, by contrast, remained only weakly correlated with age (r=0.106) but retained a mortality association, with C-index 0.654 (95% CI 0.624–0.685) and HR 1.387 (95% CI 1.338–1.439). Thus removing age-associated biomarker structure reduced standalone discrimination without eliminating prognostic information.</w:t>
      </w:r>
    </w:p>
    <w:p>
      <w:pPr>
        <w:pStyle w:val="Normal"/>
        <w:spacing w:lineRule="auto" w:line="252" w:before="0" w:after="100"/>
        <w:rPr/>
      </w:pPr>
      <w:r>
        <w:rPr/>
        <w:t>Recombining the two components improved overall risk ranking. CalibratedTotalRisk had C-index 0.843 (95% CI 0.822–0.863), HR 3.259 (95% CI 3.036–3.498), and age correlation 0.946. It exceeded DemoRisk by ΔC=0.0163 (paired 95% CI 0.0111–0.0220), indicating a small but supported increment from the physiological component.</w:t>
      </w:r>
    </w:p>
    <w:p>
      <w:pPr>
        <w:pStyle w:val="Normal"/>
        <w:spacing w:lineRule="auto" w:line="252" w:before="0" w:after="100"/>
        <w:rPr/>
      </w:pPr>
      <w:r>
        <w:rPr/>
        <w:t>PhenoAge NCP had C-index 0.841 (95% CI 0.819–0.861), HR 3.976 (95% CI 3.637–4.347), and age correlation 0.961. The difference between CalibratedTotalRisk and PhenoAge NCP was ΔC=0.0021 (paired 95% CI −0.0033 to 0.0075). The temporal data therefore did not establish a discrimination difference between the two total-risk scores.</w:t>
      </w:r>
    </w:p>
    <w:p>
      <w:pPr>
        <w:pStyle w:val="Normal"/>
        <w:spacing w:lineRule="auto" w:line="252" w:before="0" w:after="100"/>
        <w:rPr/>
      </w:pPr>
      <w:r>
        <w:rPr/>
        <w:t>PhenoAge NCP acceleration had C-index 0.638 (95% CI 0.606–0.668), HR 1.432 (95% CI 1.360–1.508), and age correlation 0.033. PhysioRisk exceeded its C-index by 0.0163, but the paired 95% CI included zero (−0.0005 to 0.0329). The physiology-oriented comparison therefore favored PhysioRisk numerically without establishing a difference.</w:t>
      </w:r>
    </w:p>
    <w:p>
      <w:pPr>
        <w:pStyle w:val="Heading2"/>
        <w:rPr/>
      </w:pPr>
      <w:r>
        <w:rPr/>
        <w:t>Fixed-horizon calibration</w:t>
      </w:r>
    </w:p>
    <w:p>
      <w:pPr>
        <w:pStyle w:val="Normal"/>
        <w:spacing w:lineRule="auto" w:line="252" w:before="0" w:after="100"/>
        <w:rPr/>
      </w:pPr>
      <w:r>
        <w:rPr/>
        <w:t>At 5 years, mean predicted mortality from CalibratedTotalRisk was 4.61% and Kaplan–Meier observed mortality was 4.65% (O/E 1.009). At 8 years, the corresponding values were 8.57% and 8.83% (O/E 1.030). Horizon-specific calibration slopes were 0.941 and 0.999, with intercepts −0.101 and 0.067 (Figure 2). These results show close agreement in average risk at both horizons, although the horizon-specific estimates did not have bootstrap confidence intervals. IPCW Brier scores were 0.0378 at 5 years and 0.0602 at 8 years.</w:t>
      </w:r>
    </w:p>
    <w:p>
      <w:pPr>
        <w:pStyle w:val="Normal"/>
        <w:spacing w:lineRule="auto" w:line="252" w:before="0" w:after="100"/>
        <w:rPr/>
      </w:pPr>
      <w:r>
        <w:rPr>
          <w:i w:val="false"/>
          <w:sz w:val="21"/>
        </w:rPr>
        <w:t>The global Cox calibration slope was 0.811 (95% CI 0.762–0.859).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t>CalibratedTotalRisk violated the strict proportional-hazards assumption (rank-time Schoenfeld statistic 16.54, p=4.76×10⁻⁵). Mean scaled residuals changed from −0.177 at 0–36 months to 0.108 at 37–72 months and 0.161 thereafter. A diagnostic score × log-time model gave an interaction coefficient of 0.171 (95% CI 0.066–0.277, p=0.00150), consistent with an association that strengthened over follow-up. This diagnostic model did not replace the fixed predictor.</w:t>
      </w:r>
    </w:p>
    <w:p>
      <w:pPr>
        <w:pStyle w:val="Normal"/>
        <w:spacing w:lineRule="auto" w:line="252" w:before="0" w:after="100"/>
        <w:rPr/>
      </w:pPr>
      <w:r>
        <w:rPr>
          <w:i w:val="false"/>
          <w:sz w:val="21"/>
        </w:rPr>
        <w:t>DemoRisk (p=0.087) and PhysioRisk (p=0.116) did not show comparable material violations. Their diagnostic log-time interactions were smaller and nonsignificant: 0.084 (p=0.238) for DemoRisk and 0.027 (p=0.364) for PhysioRisk.</w:t>
      </w:r>
    </w:p>
    <w:p>
      <w:pPr>
        <w:pStyle w:val="Heading2"/>
        <w:rPr/>
      </w:pPr>
      <w:r>
        <w:rPr/>
        <w:t>Censoring-robust and missing-data sensitivity analyses</w:t>
      </w:r>
    </w:p>
    <w:p>
      <w:pPr>
        <w:pStyle w:val="Normal"/>
        <w:spacing w:lineRule="auto" w:line="252" w:before="0" w:after="100"/>
        <w:rPr/>
      </w:pPr>
      <w:r>
        <w:rPr/>
        <w:t>At 5 and 8 years, Uno C was 0.839 and 0.843 for CalibratedTotalRisk, 0.823 and 0.827 for DemoRisk, and 0.838 and 0.841 for PhenoAge NCP. Corresponding cumulative/dynamic AUCs were 0.850 and 0.870, 0.834 and 0.853, and 0.850 and 0.875. PhysioRisk Uno C was 0.654 at both horizons. The ordering and overall interpretation were therefore unchanged under censoring-robust metrics.</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t>We evaluated whether mortality risk could be represented as two related but distinguishable quantities: demographic mortality structure associated with age and sex, and physiological variation remaining after biomarkers were adjusted for those variables. DemoRisk captured most of the overall mortality ranking. PhysioRisk had lower standalone discrimination but remained only weakly correlated with age and retained a mortality association. Recombining the components with development-estimated coefficients improved discrimination over DemoRisk alone and yielded performance similar to the PhenoAge no-CRP proxy.</w:t>
      </w:r>
    </w:p>
    <w:p>
      <w:pPr>
        <w:pStyle w:val="Normal"/>
        <w:spacing w:lineRule="auto" w:line="252" w:before="0" w:after="100"/>
        <w:rPr/>
      </w:pPr>
      <w:r>
        <w:rPr/>
        <w:t>The central finding is that measurable mortality-associated physiological heterogeneity remained after age- and sex-associated biomarker structure was removed. That component added prognostic information when returned to demographic risk while remaining separately observable. This supports the decomposition as an interpretable representation of mortality risk rather than evidence that PhysioRisk is a superior mortality predictor.</w:t>
      </w:r>
    </w:p>
    <w:p>
      <w:pPr>
        <w:pStyle w:val="Normal"/>
        <w:spacing w:lineRule="auto" w:line="252" w:before="0" w:after="100"/>
        <w:rPr/>
      </w:pPr>
      <w:r>
        <w:rPr/>
        <w:t>Low correlation with chronological age demonstrates statistical separation from age, not independence from biological aging. PhysioRisk should therefore be understood as a summary of mortality-associated physiological deviation conditional on age and sex rather than a direct measure of biological age.</w:t>
      </w:r>
    </w:p>
    <w:p>
      <w:pPr>
        <w:pStyle w:val="Heading2"/>
        <w:rPr/>
      </w:pPr>
      <w:r>
        <w:rPr/>
        <w:t>Interpreting demographic and physiological risk separately</w:t>
      </w:r>
    </w:p>
    <w:p>
      <w:pPr>
        <w:pStyle w:val="Normal"/>
        <w:spacing w:lineRule="auto" w:line="252" w:before="0" w:after="100"/>
        <w:rPr/>
      </w:pPr>
      <w:r>
        <w:rPr/>
        <w:t>Chronological age is one of the strongest predictors of mortality, so removing it simply to make a score less age-correlated would discard useful information. The interpretive problem arises when total mortality risk and physiological condition are treated as the same quantity. DemoRisk describes position on the mortality gradient associated with age and sex, whereas PhysioRisk asks whether measured physiology is more or less adverse than expected for someone of the same age and sex. The components can therefore be examined separately or recombined when overall mortality prediction is the objective.</w:t>
      </w:r>
    </w:p>
    <w:p>
      <w:pPr>
        <w:pStyle w:val="Normal"/>
        <w:spacing w:lineRule="auto" w:line="252" w:before="0" w:after="100"/>
        <w:rPr/>
      </w:pPr>
      <w:r>
        <w:rPr/>
        <w:t>The lower standalone discrimination of PhysioRisk is expected because residualization intentionally removes age-associated biomarker structure that is highly predictive of mortality. Its relevant test is whether this residual physiological information remains associated with mortality and adds information when returned to demographic risk. Both were observed here.</w:t>
      </w:r>
    </w:p>
    <w:p>
      <w:pPr>
        <w:pStyle w:val="Normal"/>
        <w:spacing w:lineRule="auto" w:line="252" w:before="0" w:after="100"/>
        <w:rPr/>
      </w:pPr>
      <w:r>
        <w:rPr/>
        <w:t>More generally, total mortality prediction and characterization of physiological deviation are related but distinct objectives. Age correlation, component-specific discrimination, mortality association, and incremental performance after recombination therefore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t>PhysioRisk differs from age-acceleration approaches in the stage at which adjustment occurs. Acceleration measures remove chronological-age structure from an already assembled biological-age or mortality score, whereas PhysioRisk removes age- and sex-associated structure from individual physiological measurements before they are combined and related to mortality. Because residualization and multivariable risk modeling are not generally interchangeable, the resulting signals need not be the same (Ferrucci et al. 2018; Klemera and Doubal 2006; Liu et al. 2018; Lu et al. 2019).</w:t>
      </w:r>
    </w:p>
    <w:p>
      <w:pPr>
        <w:pStyle w:val="Normal"/>
        <w:spacing w:lineRule="auto" w:line="252" w:before="0" w:after="100"/>
        <w:rPr/>
      </w:pPr>
      <w:r>
        <w:rPr/>
        <w:t>The comparison with PhenoAge NCP acceleration was consistent with this distinction. PhysioRisk had slightly higher discrimination, but the paired confidence interval included zero and the hazard gradients were similar. The present data therefore do not establish that PhysioRisk is a stronger physiology-only mortality predictor.</w:t>
      </w:r>
    </w:p>
    <w:p>
      <w:pPr>
        <w:pStyle w:val="Normal"/>
        <w:spacing w:lineRule="auto" w:line="252" w:before="0" w:after="100"/>
        <w:rPr/>
      </w:pPr>
      <w:r>
        <w:rPr/>
        <w:t>The total-risk comparison was likewise neutral. CalibratedTotalRisk and PhenoAge NCP had similar discrimination, so decomposition did not obviously reduce risk ranking but did not improve it either. This comparison remains limited because PhenoAge NCP omits CRP and is not the complete published PhenoAge implementation (Liu et al. 2018).</w:t>
      </w:r>
    </w:p>
    <w:p>
      <w:pPr>
        <w:pStyle w:val="Heading2"/>
        <w:rPr/>
      </w:pPr>
      <w:r>
        <w:rPr/>
        <w:t>Physiological axes and interpretability</w:t>
      </w:r>
    </w:p>
    <w:p>
      <w:pPr>
        <w:pStyle w:val="Normal"/>
        <w:spacing w:lineRule="auto" w:line="252" w:before="0" w:after="100"/>
        <w:rPr/>
      </w:pPr>
      <w:r>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t>The labels are descriptive summaries of correlated clinical measurements, not claims of discrete biological systems or causal mechanisms. Their constituent biomarkers span hematopoietic, inflammatory, erythrocyte, renal, protein-homeostasis, and hepatobiliary processes. Aggregating them makes coordinated physiological variation inspectable without assigning causality to particular organ systems.</w:t>
      </w:r>
    </w:p>
    <w:p>
      <w:pPr>
        <w:pStyle w:val="Normal"/>
        <w:spacing w:lineRule="auto" w:line="252" w:before="0" w:after="100"/>
        <w:rPr/>
      </w:pPr>
      <w:r>
        <w:rPr/>
        <w:t>That interpretation is consistent with the physiological-dysregulation literature, which emphasizes coordinated disturbance across systems (Cohen et al. 2013, 2015; Milot et al. 2014). PhysioRisk approaches the same broad problem through survival modeling, asking which age- and sex-adjusted physiological deviations retain mortality information. The two-axis structure should therefore be regarded as a parsimonious implementation of the decomposition framework rather than a definitive taxonomy of aging physiology.</w:t>
      </w:r>
    </w:p>
    <w:p>
      <w:pPr>
        <w:pStyle w:val="Heading2"/>
        <w:rPr/>
      </w:pPr>
      <w:r>
        <w:rPr/>
        <w:t>Recombination, calibration, and time dependence</w:t>
      </w:r>
    </w:p>
    <w:p>
      <w:pPr>
        <w:pStyle w:val="Normal"/>
        <w:spacing w:lineRule="auto" w:line="252" w:before="0" w:after="100"/>
        <w:rPr/>
      </w:pPr>
      <w:r>
        <w:rPr/>
        <w:t>Because DemoRisk and PhysioRisk occupy different numerical scales, their relative contributions to overall mortality risk were estimated jointly in the development cohort. The resulting combination was then applied unchanged in temporal validation.</w:t>
      </w:r>
    </w:p>
    <w:p>
      <w:pPr>
        <w:pStyle w:val="Normal"/>
        <w:spacing w:lineRule="auto" w:line="252" w:before="0" w:after="100"/>
        <w:rPr/>
      </w:pPr>
      <w:r>
        <w:rPr/>
        <w:t>In temporal validation, the physiological component provided a small but supported increment in discrimination over DemoRisk alone, while CalibratedTotalRisk remained similar to PhenoAge NCP. Thus the decomposition preserved overall risk ranking while keeping demographic and physiological contributions separately observable.</w:t>
      </w:r>
    </w:p>
    <w:p>
      <w:pPr>
        <w:pStyle w:val="Normal"/>
        <w:spacing w:lineRule="auto" w:line="252" w:before="0" w:after="100"/>
        <w:rPr/>
      </w:pPr>
      <w:r>
        <w:rPr/>
        <w:t>Fixed-horizon calibration was close in the temporal cohort at both 5 and 8 years, and IPCW Brier scores and censoring-robust discrimination gave conclusions similar to conventional concordance. The 8-year estimate was less precise because fewer participants remained at risk (Crowson et al. 2016; Graf et al. 1999; Heagerty et al. 2000; Royston 2014; Uno et al. 2011).</w:t>
      </w:r>
    </w:p>
    <w:p>
      <w:pPr>
        <w:pStyle w:val="Normal"/>
        <w:spacing w:lineRule="auto" w:line="252" w:before="0" w:after="100"/>
        <w:rPr/>
      </w:pPr>
      <w:r>
        <w:rPr/>
        <w:t>CalibratedTotalRisk nevertheless violated the strict proportional-hazards assumption. Schoenfeld-residual and log-time diagnostics indicated that its mortality association strengthened over follow-up (Grambsch and Therneau 1994). This limits interpretation of a single constant hazard ratio and means the global Cox calibration slope should not be read simply as overfitting. Reasonable fixed-horizon prediction can coexist with a relative hazard association that changes with time.</w:t>
      </w:r>
    </w:p>
    <w:p>
      <w:pPr>
        <w:pStyle w:val="Normal"/>
        <w:spacing w:lineRule="auto" w:line="252" w:before="0" w:after="100"/>
        <w:rPr/>
      </w:pPr>
      <w:r>
        <w:rPr/>
        <w:t>The mechanism underlying that time dependence cannot be determined here. DemoRisk and PhysioRisk individually did not show comparable statistically significant time interactions, so future validation should examine time-specific performance rather than assume that a single proportional-hazards summary fully characterizes the composite.</w:t>
      </w:r>
    </w:p>
    <w:p>
      <w:pPr>
        <w:pStyle w:val="Heading2"/>
        <w:rPr/>
      </w:pPr>
      <w:r>
        <w:rPr/>
        <w:t>Implications</w:t>
      </w:r>
    </w:p>
    <w:p>
      <w:pPr>
        <w:pStyle w:val="Normal"/>
        <w:spacing w:lineRule="auto" w:line="252" w:before="0" w:after="100"/>
        <w:rPr/>
      </w:pPr>
      <w:r>
        <w:rPr/>
        <w:t>Interpretability in mortality modeling need not require discarding chronological age, nor does strong prediction require demographic and physiological information to be collapsed into an inseparable score. For prognosis, the combined score is generally the relevant object. For questions about physiological heterogeneity among people of similar age and sex, the residual physiological component may be more informative even though its standalone discrimination is lower. In this setting, PhysioRisk prevents chronological age from answering a physiological question by proxy.</w:t>
      </w:r>
    </w:p>
    <w:p>
      <w:pPr>
        <w:pStyle w:val="Normal"/>
        <w:rPr/>
      </w:pPr>
      <w:r>
        <w:rPr/>
        <w:t>One potentially important application is longitudinal response assessment. Because PhysioRisk summarizes mortality-associated physiological deviation conditional on age and sex, repeated measurements could provide an intermediate readout before hard clinical outcomes accrue. At the individual level, change in PhysioRisk could provide a starting or interim measure of response. At the population level, shifts in its distribution could help characterize response heterogeneity. These uses require longitudinal validation of within-person reliability, responsiveness, and the relationship between change in PhysioRisk and subsequent outcomes.</w:t>
      </w:r>
    </w:p>
    <w:p>
      <w:pPr>
        <w:pStyle w:val="Normal"/>
        <w:spacing w:lineRule="auto" w:line="252" w:before="0" w:after="100"/>
        <w:rPr/>
      </w:pPr>
      <w:r>
        <w:rPr/>
        <w:t>The results also suggest a reporting principle for mortality-trained aging measures. Discrimination alone does not reveal whether a model's signal is predominantly demographic, physiological, or both. Reporting age dependence, mortality association, calibration, and incremental performance can make these contributions more explicit.</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t>The benchmark comparator was a PhenoAge no-CRP proxy rather than the complete published implementation, so the comparison cannot establish superiority or equivalence to full PhenoAge. The physiological axes are statistical summaries of a limited panel of routine biomarkers, and other biomarker sets or modeling choices could capture different dimensions of physiological heterogeneity. The historical sequence leading to selection of the final two axes is incompletely reconstructed, so the temporal cohort cannot be regarded as a pristine never-examined holdout for every aspect of model selection. The preserved final scoring path is reproducible, and the CalibratedTotalRisk coefficients were estimated in development only.</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the exact historical residualization and axis parameters needed to extend the preserved score outside the retained scoring path are unavailable.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i w:val="false"/>
          <w:sz w:val="21"/>
        </w:rPr>
      </w:pPr>
      <w:r>
        <w:rPr/>
        <w:t>PhysioRisk should therefore be viewed as an interpretable physiological-risk component. Its value lies in making demographic and physiological contributions separately observable while retaining the option to recombine them for total-risk prediction. It is not a replacement for chronological age or a definitive biological-age measure. Whether this decomposition transports beyond NHANES remains the principal question for external validation.</w:t>
      </w:r>
    </w:p>
    <w:p>
      <w:pPr>
        <w:pStyle w:val="Heading1"/>
        <w:rPr/>
      </w:pPr>
      <w:r>
        <w:rPr>
          <w:i w:val="false"/>
          <w:sz w:val="21"/>
        </w:rPr>
        <w:t>Statements and Declarations</w:t>
      </w:r>
    </w:p>
    <w:p>
      <w:pPr>
        <w:pStyle w:val="Heading2"/>
        <w:rPr/>
      </w:pPr>
      <w:r>
        <w:rPr>
          <w:i w:val="false"/>
          <w:sz w:val="21"/>
        </w:rPr>
        <w:t>Funding</w:t>
      </w:r>
    </w:p>
    <w:p>
      <w:pPr>
        <w:pStyle w:val="Normal"/>
        <w:spacing w:lineRule="auto" w:line="252" w:before="0" w:after="100"/>
        <w:rPr/>
      </w:pPr>
      <w:r>
        <w:rPr>
          <w:i w:val="false"/>
          <w:sz w:val="21"/>
        </w:rPr>
        <w:t>This research received no external funding.</w:t>
      </w:r>
    </w:p>
    <w:p>
      <w:pPr>
        <w:pStyle w:val="Heading2"/>
        <w:rPr/>
      </w:pPr>
      <w:r>
        <w:rPr>
          <w:i w:val="false"/>
          <w:sz w:val="21"/>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from the National Center for Health Statistics. 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i w:val="false"/>
          <w:sz w:val="21"/>
        </w:rPr>
        <w:t>Consent for publication</w:t>
      </w:r>
    </w:p>
    <w:p>
      <w:pPr>
        <w:pStyle w:val="Normal"/>
        <w:spacing w:lineRule="auto" w:line="252" w:before="0" w:after="100"/>
        <w:rPr/>
      </w:pPr>
      <w:r>
        <w:rPr>
          <w:i w:val="false"/>
          <w:sz w:val="21"/>
        </w:rPr>
        <w:t>Not applicable.</w:t>
      </w:r>
    </w:p>
    <w:p>
      <w:pPr>
        <w:pStyle w:val="Heading2"/>
        <w:rPr/>
      </w:pPr>
      <w:r>
        <w:rPr>
          <w:i w:val="false"/>
          <w:sz w:val="21"/>
        </w:rPr>
        <w:t>Competing interests</w:t>
      </w:r>
    </w:p>
    <w:p>
      <w:pPr>
        <w:pStyle w:val="Normal"/>
        <w:spacing w:lineRule="auto" w:line="252" w:before="0" w:after="100"/>
        <w:rPr/>
      </w:pPr>
      <w:r>
        <w:rPr>
          <w:i w:val="false"/>
          <w:sz w:val="21"/>
        </w:rPr>
        <w:t>The author declares no competing interests.</w:t>
      </w:r>
    </w:p>
    <w:p>
      <w:pPr>
        <w:pStyle w:val="Heading2"/>
        <w:rPr/>
      </w:pPr>
      <w:r>
        <w:rPr>
          <w:i w:val="false"/>
          <w:sz w:val="21"/>
        </w:rPr>
        <w:t>Author contributions</w:t>
      </w:r>
    </w:p>
    <w:p>
      <w:pPr>
        <w:pStyle w:val="Normal"/>
        <w:spacing w:lineRule="auto" w:line="252" w:before="0" w:after="100"/>
        <w:rPr/>
      </w:pPr>
      <w:r>
        <w:rPr>
          <w:i w:val="false"/>
          <w:sz w:val="21"/>
        </w:rPr>
        <w:t>Gregory S. Allen conceived and designed the study, performed the analyses, interpreted the results, prepared the figures and tables, and wrote and revised the manuscript.</w:t>
      </w:r>
    </w:p>
    <w:p>
      <w:pPr>
        <w:pStyle w:val="Heading2"/>
        <w:rPr/>
      </w:pPr>
      <w:r>
        <w:rPr>
          <w:i w:val="false"/>
          <w:sz w:val="21"/>
        </w:rPr>
        <w:t>Data and code availability</w:t>
      </w:r>
    </w:p>
    <w:p>
      <w:pPr>
        <w:pStyle w:val="Normal"/>
        <w:spacing w:lineRule="auto" w:line="252" w:before="0" w:after="100"/>
        <w:rPr/>
      </w:pPr>
      <w:r>
        <w:rPr>
          <w:i w:val="false"/>
          <w:sz w:val="21"/>
        </w:rPr>
        <w:t>NHANES 1999–2016 datasets used in this study are publicly available from the National Center for Health Statistics, Centers for Disease Control and Prevention, at https://www.cdc.gov/nchs/nhanes/. The 2019 Public-use Linked Mortality Files are publicly available from the National Center for Health Statistics at https://www.cdc.gov/nchs/data/datalinkage/public-use-linked-mortality-file-description.pdf. These public-use datasets do not have study-specific accession numbers or DOIs. Analysis code, aggregate result tables, supplementary material, and reproducibility and provenance documentation are available at https://github.com/allengr220/physiorisk_public/. Participant-level analytic datasets and derived score files are not redistributed. Their construction and provenance are documented in the repository.</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2"/>
        <w:rPr/>
      </w:pPr>
      <w:r>
        <w:rPr>
          <w:i w:val="false"/>
          <w:sz w:val="21"/>
        </w:rPr>
        <w:t>Preprint</w:t>
      </w:r>
    </w:p>
    <w:p>
      <w:pPr>
        <w:pStyle w:val="Normal"/>
        <w:spacing w:lineRule="auto" w:line="252" w:before="0" w:after="100"/>
        <w:rPr/>
      </w:pPr>
      <w:r>
        <w:rPr>
          <w:i w:val="false"/>
          <w:sz w:val="21"/>
        </w:rPr>
        <w:t>A previous version of this manuscript is available on Research Square. The current revised preprint is: Allen GS. PhysioRisk: an interpretable survival-modeling framework for separating demographic and physiological mortality risk. Research Square, Version 2, posted October 6, 2026. https://doi.org/10.21203/rs.3.rs-9829732/v2</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(0.624–0.685)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1.387 (1.338–1.439)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0.843 (0.822–0.863)</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3.259 (3.036–3.498)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0.841 (0.819–0.861)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3.976 (3.637–4.347)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0.961</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0.638 (0.606–0.668)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1.432 (1.360–1.508)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0.033</w:t>
            </w:r>
          </w:p>
        </w:tc>
      </w:tr>
    </w:tbl>
    <w:p>
      <w:pPr>
        <w:pStyle w:val="Normal"/>
        <w:rPr/>
      </w:pPr>
      <w:r>
        <w:rPr/>
      </w:r>
    </w:p>
    <w:p>
      <w:pPr>
        <w:pStyle w:val="Normal"/>
        <w:jc w:val="center"/>
        <w:rPr/>
      </w:pPr>
      <w:r>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698240"/>
                    </a:xfrm>
                    <a:prstGeom prst="rect">
                      <a:avLst/>
                    </a:prstGeom>
                    <a:noFill/>
                  </pic:spPr>
                </pic:pic>
              </a:graphicData>
            </a:graphic>
          </wp: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rPr/>
        <w:drawing>
          <wp:inline distT="0" distB="0" distL="0" distR="0">
            <wp:extent cx="5943600" cy="266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2661920"/>
                    </a:xfrm>
                    <a:prstGeom prst="rect">
                      <a:avLst/>
                    </a:prstGeom>
                    <a:noFill/>
                  </pic:spPr>
                </pic:pic>
              </a:graphicData>
            </a:graphic>
          </wp: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Bewick V, Cheek L, Ball J (2004) Statistics review 12: survival analysis. Crit Care 8(5):389–394. https://doi.org/10.1186/cc2955</w:t>
      </w:r>
    </w:p>
    <w:p>
      <w:pPr>
        <w:pStyle w:val="Normal"/>
        <w:spacing w:lineRule="auto" w:line="240" w:before="0" w:after="60"/>
        <w:ind w:hanging="216" w:start="216"/>
        <w:rPr/>
      </w:pPr>
      <w:r>
        <w:rPr>
          <w:sz w:val="19"/>
        </w:rPr>
        <w:t>Cohen AA, Milot E, Li Q, et al (2013) A novel statistical approach shows evidence for multi-system physiological dysregulation during aging. Mech Ageing Dev 134(3–4):110–117. https://doi.org/10.1016/j.mad.2013.01.004</w:t>
      </w:r>
    </w:p>
    <w:p>
      <w:pPr>
        <w:pStyle w:val="Normal"/>
        <w:spacing w:lineRule="auto" w:line="240" w:before="0" w:after="60"/>
        <w:ind w:hanging="216" w:start="216"/>
        <w:rPr/>
      </w:pPr>
      <w:r>
        <w:rPr>
          <w:sz w:val="19"/>
        </w:rPr>
        <w:t>Cohen AA, Li Q, Milot E, et al (2015) Statistical distance as a measure of physiological dysregulation is largely robust to variation in its biomarker composition. PLoS One 10(4):e0122541. https://doi.org/10.1371/journal.pone.0122541</w:t>
      </w:r>
    </w:p>
    <w:p>
      <w:pPr>
        <w:pStyle w:val="Normal"/>
        <w:spacing w:lineRule="auto" w:line="240" w:before="0" w:after="60"/>
        <w:ind w:hanging="216" w:start="216"/>
        <w:rPr/>
      </w:pPr>
      <w:r>
        <w:rPr>
          <w:sz w:val="19"/>
        </w:rPr>
        <w:t>Collins GS, Reitsma JB, Altman DG, Moons KGM (2015) Transparent reporting of a multivariable prediction model for individual prognosis or diagnosis: the TRIPOD statement. Ann Intern Med 162(1):55–63. https://doi.org/10.7326/M14-0697</w:t>
      </w:r>
    </w:p>
    <w:p>
      <w:pPr>
        <w:pStyle w:val="Normal"/>
        <w:spacing w:lineRule="auto" w:line="240" w:before="0" w:after="60"/>
        <w:ind w:hanging="216" w:start="216"/>
        <w:rPr/>
      </w:pPr>
      <w:r>
        <w:rPr>
          <w:sz w:val="19"/>
        </w:rPr>
        <w:t>Cox DR (1972) Regression models and life-tables. J R Stat Soc Series B Stat Methodol 34(2):187–220. https://doi.org/10.1111/j.2517-6161.1972.tb00899.x</w:t>
      </w:r>
    </w:p>
    <w:p>
      <w:pPr>
        <w:pStyle w:val="Normal"/>
        <w:spacing w:lineRule="auto" w:line="240" w:before="0" w:after="60"/>
        <w:ind w:hanging="216" w:start="216"/>
        <w:rPr/>
      </w:pPr>
      <w:r>
        <w:rPr>
          <w:sz w:val="19"/>
        </w:rPr>
        <w:t>Crowson CS, Atkinson EJ, Therneau TM (2016) Assessing calibration of prognostic risk scores. Stat Methods Med Res 25(4):1692–1706. https://doi.org/10.1177/0962280213497434</w:t>
      </w:r>
    </w:p>
    <w:p>
      <w:pPr>
        <w:pStyle w:val="Normal"/>
        <w:spacing w:lineRule="auto" w:line="240" w:before="0" w:after="60"/>
        <w:ind w:hanging="216" w:start="216"/>
        <w:rPr/>
      </w:pPr>
      <w:r>
        <w:rPr>
          <w:sz w:val="19"/>
        </w:rPr>
        <w:t>Duchateau L, Janssen P (2007) The Frailty Model. Springer, New York. https://doi.org/10.1007/978-0-387-72835-3</w:t>
      </w:r>
    </w:p>
    <w:p>
      <w:pPr>
        <w:pStyle w:val="Normal"/>
        <w:spacing w:lineRule="auto" w:line="240" w:before="0" w:after="60"/>
        <w:ind w:hanging="216" w:start="216"/>
        <w:rPr/>
      </w:pPr>
      <w:r>
        <w:rPr>
          <w:sz w:val="19"/>
        </w:rPr>
        <w:t>Ferrucci L, Levine ME, Kuo PL, Simonsick EM (2018) Time and the metrics of aging. Circulation Research 123(7):740–744. https://doi.org/10.1161/CIRCRESAHA.118.312816</w:t>
      </w:r>
    </w:p>
    <w:p>
      <w:pPr>
        <w:pStyle w:val="Normal"/>
        <w:spacing w:lineRule="auto" w:line="240" w:before="0" w:after="60"/>
        <w:ind w:hanging="216" w:start="216"/>
        <w:rPr/>
      </w:pPr>
      <w:r>
        <w:rPr>
          <w:sz w:val="19"/>
        </w:rPr>
        <w:t>Graf E, Schmoor C, Sauerbrei W, Schumacher M (1999) Assessment and comparison of prognostic classification schemes for survival data. Stat Med 18(17–18):2529–2545. https://doi.org/10.1002/(SICI)1097-0258(19990915/30)18:17/18&lt;2529::AID-SIM274&gt;3.0.CO;2-5</w:t>
      </w:r>
    </w:p>
    <w:p>
      <w:pPr>
        <w:pStyle w:val="Normal"/>
        <w:spacing w:lineRule="auto" w:line="240" w:before="0" w:after="60"/>
        <w:ind w:hanging="216" w:start="216"/>
        <w:rPr/>
      </w:pPr>
      <w:r>
        <w:rPr>
          <w:sz w:val="19"/>
        </w:rPr>
        <w:t>Grambsch PM, Therneau TM (1994) Proportional hazards tests and diagnostics based on weighted residuals. Biometrika 81(3):515–526. https://doi.org/10.1093/biomet/81.3.515</w:t>
      </w:r>
    </w:p>
    <w:p>
      <w:pPr>
        <w:pStyle w:val="Normal"/>
        <w:spacing w:lineRule="auto" w:line="240" w:before="0" w:after="60"/>
        <w:ind w:hanging="216" w:start="216"/>
        <w:rPr/>
      </w:pPr>
      <w:r>
        <w:rPr>
          <w:sz w:val="19"/>
        </w:rPr>
        <w:t>Harrell FE Jr, Lee KL, Mark DB (1996) Multivariable prognostic models: issues in developing models, evaluating assumptions and adequacy, and measuring and reducing errors. Stat Med 15(4):361–387. https://doi.org/10.1002/(SICI)1097-0258(19960229)15:4&lt;361::AID-SIM168&gt;3.0.CO;2-4</w:t>
      </w:r>
    </w:p>
    <w:p>
      <w:pPr>
        <w:pStyle w:val="Normal"/>
        <w:spacing w:lineRule="auto" w:line="240" w:before="0" w:after="60"/>
        <w:ind w:hanging="216" w:start="216"/>
        <w:rPr/>
      </w:pPr>
      <w:r>
        <w:rPr>
          <w:sz w:val="19"/>
        </w:rPr>
        <w:t>Hartman N, Kim S, He K, Kalbfleisch JD (2023) Pitfalls of the concordance index for survival outcomes. Stat Med 42(13):2179–2190. https://doi.org/10.1002/sim.9717</w:t>
      </w:r>
    </w:p>
    <w:p>
      <w:pPr>
        <w:pStyle w:val="Normal"/>
        <w:spacing w:lineRule="auto" w:line="240" w:before="0" w:after="60"/>
        <w:ind w:hanging="216" w:start="216"/>
        <w:rPr/>
      </w:pPr>
      <w:r>
        <w:rPr>
          <w:sz w:val="19"/>
        </w:rPr>
        <w:t>Heagerty PJ, Lumley T, Pepe MS (2000) Time-dependent ROC curves for censored survival data and a diagnostic marker. Biometrics 56(2):337–344. https://doi.org/10.1111/j.0006-341X.2000.00337.x</w:t>
      </w:r>
    </w:p>
    <w:p>
      <w:pPr>
        <w:pStyle w:val="Normal"/>
        <w:spacing w:lineRule="auto" w:line="240" w:before="0" w:after="60"/>
        <w:ind w:hanging="216" w:start="216"/>
        <w:rPr/>
      </w:pPr>
      <w:r>
        <w:rPr>
          <w:sz w:val="19"/>
        </w:rPr>
        <w:t>Kleinbaum DG, Klein M (2012) Survival Analysis: A Self-Learning Text. 3rd ed. Springer, New York. https://doi.org/10.1007/978-1-4419-6646-9</w:t>
      </w:r>
    </w:p>
    <w:p>
      <w:pPr>
        <w:pStyle w:val="Normal"/>
        <w:spacing w:lineRule="auto" w:line="240" w:before="0" w:after="60"/>
        <w:ind w:hanging="216" w:start="216"/>
        <w:rPr/>
      </w:pPr>
      <w:r>
        <w:rPr>
          <w:sz w:val="19"/>
        </w:rPr>
        <w:t>Klemera P, Doubal S (2006) A new approach to the concept and computation of biological age. Mech Ageing Dev 127(3):240–248. https://doi.org/10.1016/j.mad.2005.10.004</w:t>
      </w:r>
    </w:p>
    <w:p>
      <w:pPr>
        <w:pStyle w:val="Normal"/>
        <w:spacing w:lineRule="auto" w:line="240" w:before="0" w:after="60"/>
        <w:ind w:hanging="216" w:start="216"/>
        <w:rPr/>
      </w:pPr>
      <w:r>
        <w:rPr>
          <w:sz w:val="19"/>
        </w:rPr>
        <w:t>Liu Z, Kuo PL, Horvath S, Crimmins E, Ferrucci L, Levine M (2018) A new aging measure captures morbidity and mortality risk across diverse subpopulations from NHANES IV: a cohort study. PLoS Med 15(12):e1002718. https://doi.org/10.1371/journal.pmed.1002718</w:t>
      </w:r>
    </w:p>
    <w:p>
      <w:pPr>
        <w:pStyle w:val="Normal"/>
        <w:spacing w:lineRule="auto" w:line="240" w:before="0" w:after="60"/>
        <w:ind w:hanging="216" w:start="216"/>
        <w:rPr/>
      </w:pPr>
      <w:r>
        <w:rPr>
          <w:sz w:val="19"/>
        </w:rPr>
        <w:t>Lu AT, Quach A, Wilson JG, Reiner AP, Aviv A, Raj K, et al (2019) DNA methylation GrimAge strongly predicts lifespan and healthspan. Aging (Albany NY) 11(2):303–327. https://doi.org/10.18632/aging.101684</w:t>
      </w:r>
    </w:p>
    <w:p>
      <w:pPr>
        <w:pStyle w:val="Normal"/>
        <w:spacing w:lineRule="auto" w:line="240" w:before="0" w:after="60"/>
        <w:ind w:hanging="216" w:start="216"/>
        <w:rPr/>
      </w:pPr>
      <w:r>
        <w:rPr>
          <w:sz w:val="19"/>
        </w:rPr>
        <w:t>Milot E, Cohen AA, Li Q, et al (2014) Relationships between physiological dysregulation and health outcomes in aging: trajectories and mortality associations. Mech Ageing Dev 141–142:7–16. https://doi.org/10.1016/j.mad.2014.10.001</w:t>
      </w:r>
    </w:p>
    <w:p>
      <w:pPr>
        <w:pStyle w:val="Normal"/>
        <w:spacing w:lineRule="auto" w:line="240" w:before="0" w:after="60"/>
        <w:ind w:hanging="216" w:start="216"/>
        <w:rPr/>
      </w:pPr>
      <w:r>
        <w:rPr>
          <w:sz w:val="19"/>
        </w:rPr>
        <w:t>National Center for Health Statistics (1999–2016) National Health and Nutrition Examination Survey Data. Centers for Disease Control and Prevention, Hyattsville, MD. Available from: https://www.cdc.gov/nchs/nhanes/</w:t>
      </w:r>
    </w:p>
    <w:p>
      <w:pPr>
        <w:pStyle w:val="Normal"/>
        <w:spacing w:lineRule="auto" w:line="240" w:before="0" w:after="60"/>
        <w:ind w:hanging="216" w:start="216"/>
        <w:rPr/>
      </w:pPr>
      <w:r>
        <w:rPr>
          <w:sz w:val="19"/>
        </w:rPr>
        <w:t>National Center for Health Statistics (2022) National Health and Nutrition Examination Survey: public-use linked mortality file description. Centers for Disease Control and Prevention, Hyattsville, MD. Available from: https://www.cdc.gov/nchs/data/datalinkage/public-use-linked-mortality-file-description.pdf</w:t>
      </w:r>
    </w:p>
    <w:p>
      <w:pPr>
        <w:pStyle w:val="Normal"/>
        <w:spacing w:lineRule="auto" w:line="240" w:before="0" w:after="60"/>
        <w:ind w:hanging="216" w:start="216"/>
        <w:rPr/>
      </w:pPr>
      <w:r>
        <w:rPr>
          <w:sz w:val="19"/>
        </w:rPr>
        <w:t>Rockwood K, Mitnitski A (2007) Frailty in relation to the accumulation of deficits. J Gerontol A Biol Sci Med Sci 62(7):722–727. https://doi.org/10.1093/gerona/62.7.722</w:t>
      </w:r>
    </w:p>
    <w:p>
      <w:pPr>
        <w:pStyle w:val="Normal"/>
        <w:spacing w:lineRule="auto" w:line="240" w:before="0" w:after="60"/>
        <w:ind w:hanging="216" w:start="216"/>
        <w:rPr/>
      </w:pPr>
      <w:r>
        <w:rPr>
          <w:sz w:val="19"/>
        </w:rPr>
        <w:t>Royston P (2014) Tools for checking calibration of a Cox model in external validation: approach based on individual event probabilities. Stata J 14(4):738–755. https://doi.org/10.1177/1536867X1401400403</w:t>
      </w:r>
    </w:p>
    <w:p>
      <w:pPr>
        <w:pStyle w:val="Normal"/>
        <w:spacing w:lineRule="auto" w:line="240" w:before="0" w:after="60"/>
        <w:ind w:hanging="216" w:start="216"/>
        <w:rPr/>
      </w:pPr>
      <w:r>
        <w:rPr>
          <w:sz w:val="19"/>
        </w:rPr>
        <w:t>Uno H, Cai T, Pencina MJ, D'Agostino RB, Wei LJ (2011) On the C-statistics for evaluating overall adequacy of risk prediction procedures with censored survival data. Stat Med 30(10):1105–1117. https://doi.org/10.1002/sim.4154</w:t>
      </w:r>
    </w:p>
    <w:p>
      <w:pPr>
        <w:pStyle w:val="Normal"/>
        <w:spacing w:lineRule="auto" w:line="240" w:before="0" w:after="60"/>
        <w:ind w:hanging="216" w:start="216"/>
        <w:rPr/>
      </w:pPr>
      <w:r>
        <w:rPr>
          <w:sz w:val="19"/>
        </w:rPr>
        <w:t>Vaupel JW, Manton KG, Stallard E (1979) The impact of heterogeneity in individual frailty on the dynamics of mortality. Demography 16(3):439–454. https://doi.org/10.2307/2061224</w:t>
      </w:r>
    </w:p>
    <w:sectPr>
      <w:footerReference w:type="even" r:id="rId4"/>
      <w:footerReference w:type="default" r:id="rId5"/>
      <w:footerReference w:type="first" r:id="rId6"/>
      <w:type w:val="nextPage"/>
      <w:pgSz w:w="12240" w:h="15840"/>
      <w:pgMar w:left="1123" w:right="1123" w:gutter="0" w:header="0" w:top="1080" w:footer="720" w:bottom="100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LibreOffice/26.2.6.3$Windows_X86_64 LibreOffice_project/8221e31b3ac356a1623c672912a3d2b492f7e3d1</Application>
  <AppVersion>15.0000</AppVersion>
  <Pages>13</Pages>
  <Words>6201</Words>
  <Characters>41340</Characters>
  <CharactersWithSpaces>47250</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2026-09-27T09:00:48Z</dcterms:modified>
  <cp:revision>3</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