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Primary Source Anecdotes &amp; Character Portraits</w:t>
      </w:r>
    </w:p>
    <w:p>
      <w:pPr>
        <w:pStyle w:val="Heading1"/>
        <w:spacing w:before="0" w:after="160"/>
      </w:pPr>
      <w:r>
        <w:rPr>
          <w:rFonts w:ascii="Georgia" w:cs="Georgia" w:eastAsia="Georgia" w:hAnsi="Georgia"/>
          <w:b/>
          <w:bCs/>
          <w:color w:val="1A3C5E"/>
          <w:sz w:val="28"/>
          <w:szCs w:val="28"/>
        </w:rPr>
        <w:t xml:space="preserve">The Gurney Family of Norfolk, c.1580–1650</w:t>
      </w:r>
    </w:p>
    <w:p>
      <w:pPr>
        <w:spacing w:after="240"/>
      </w:pPr>
      <w:r>
        <w:rPr>
          <w:rFonts w:ascii="Georgia" w:cs="Georgia" w:eastAsia="Georgia" w:hAnsi="Georgia"/>
          <w:i/>
          <w:iCs/>
          <w:sz w:val="23"/>
          <w:szCs w:val="23"/>
        </w:rPr>
        <w:t xml:space="preserve">Compiled March 2026 for the biography of Brigadier General William Gurney (1821–1879). These are the only surviving contemporary character descriptions of individuals in the Gurney lineage prior to the 19th century.</w:t>
      </w:r>
    </w:p>
    <w:p>
      <w:pPr>
        <w:pStyle w:val="Heading2"/>
      </w:pPr>
      <w:r>
        <w:t xml:space="preserve">I. From Sir Nicholas Lestrange’s “Merry Passages and Jests” (c.1620s–1630s)</w:t>
      </w:r>
    </w:p>
    <w:p>
      <w:pPr>
        <w:spacing w:after="200"/>
      </w:pPr>
      <w:r>
        <w:rPr>
          <w:rFonts w:ascii="Georgia" w:cs="Georgia" w:eastAsia="Georgia" w:hAnsi="Georgia"/>
          <w:sz w:val="23"/>
          <w:szCs w:val="23"/>
        </w:rPr>
        <w:t xml:space="preserve">Sir Nicholas Lestrange (1603–1655) of Hunstanton, Norfolk, compiled a manuscript collection of jokes, anecdotes, and witty sayings gathered from his family circle and social network. The Gurneys appear repeatedly because they were kin: Sir Nicholas’s great-grandmother Elizabeth Gurney had married Richard Stubbe, and the Lestranges were connected to the Gurneys through the Calthorpes and Heydons. The manuscript survives as Harleian MS 6395 in the British Library and was published by the Camden Society in 1839.</w:t>
      </w:r>
    </w:p>
    <w:p>
      <w:pPr>
        <w:pStyle w:val="Heading3"/>
      </w:pPr>
      <w:r>
        <w:t xml:space="preserve">Anecdote No. XI — “A Mathematician Defined”</w:t>
      </w:r>
    </w:p>
    <w:p>
      <w:pPr>
        <w:spacing w:after="80" w:before="80"/>
        <w:ind w:left="720" w:right="720"/>
      </w:pPr>
      <w:r>
        <w:rPr>
          <w:rFonts w:ascii="Georgia" w:cs="Georgia" w:eastAsia="Georgia" w:hAnsi="Georgia"/>
          <w:i/>
          <w:iCs/>
          <w:sz w:val="22"/>
          <w:szCs w:val="22"/>
        </w:rPr>
        <w:t xml:space="preserve">“Edm. Gurney used to say that a mathematitian is like one that goes to markett to buy an axe to breake an egg.”</w:t>
      </w:r>
    </w:p>
    <w:p>
      <w:pPr>
        <w:spacing w:after="160"/>
        <w:ind w:left="720" w:right="720"/>
      </w:pPr>
      <w:r>
        <w:rPr>
          <w:rFonts w:ascii="Arial" w:cs="Arial" w:eastAsia="Arial" w:hAnsi="Arial"/>
          <w:color w:val="555555"/>
          <w:sz w:val="19"/>
          <w:szCs w:val="19"/>
        </w:rPr>
        <w:t xml:space="preserve">L’Estrange, No. 30. Ed. Gurney.</w:t>
      </w:r>
    </w:p>
    <w:p>
      <w:pPr>
        <w:spacing w:after="120"/>
      </w:pPr>
      <w:r>
        <w:rPr>
          <w:rFonts w:ascii="Arial" w:cs="Arial" w:eastAsia="Arial" w:hAnsi="Arial"/>
          <w:sz w:val="21"/>
          <w:szCs w:val="21"/>
        </w:rPr>
        <w:t xml:space="preserve">Edmund Gurney (1577–1648), rector of Harpley, Norfolk, was the third son of Henry Gurnay of Great Ellingham and brother to Francis Gurney, Merchant Taylor of London. This anecdote was related to Sir Nicholas Lestrange by “Ed. Gurney” — Edward Gurney of West Barsham, Edmund’s nephew. The joke reveals Edmund’s characteristic anti-intellectualism: a distrust of elaborate theoretical systems when simple practical approaches would suffice. This attitude is consistent with his Puritan theology, which emphasized direct engagement with Scripture over scholastic complexity.</w:t>
      </w:r>
    </w:p>
    <w:p>
      <w:pPr>
        <w:spacing w:after="120"/>
      </w:pPr>
      <w:r>
        <w:rPr>
          <w:rFonts w:ascii="Arial" w:cs="Arial" w:eastAsia="Arial" w:hAnsi="Arial"/>
          <w:sz w:val="21"/>
          <w:szCs w:val="21"/>
        </w:rPr>
        <w:t xml:space="preserve">The editor appended Thomas Fuller’s biographical account of Edmund from </w:t>
      </w:r>
      <w:r>
        <w:rPr>
          <w:rFonts w:ascii="Arial" w:cs="Arial" w:eastAsia="Arial" w:hAnsi="Arial"/>
          <w:b/>
          <w:bCs/>
          <w:sz w:val="21"/>
          <w:szCs w:val="21"/>
        </w:rPr>
        <w:t xml:space="preserve">The Worthies of England</w:t>
      </w:r>
      <w:r>
        <w:rPr>
          <w:rFonts w:ascii="Arial" w:cs="Arial" w:eastAsia="Arial" w:hAnsi="Arial"/>
          <w:sz w:val="21"/>
          <w:szCs w:val="21"/>
        </w:rPr>
        <w:t xml:space="preserve"> (1662), which provides the fullest contemporary character portrait of any member of the Gurney family:</w:t>
      </w:r>
    </w:p>
    <w:p>
      <w:pPr>
        <w:spacing w:after="80" w:before="80"/>
        <w:ind w:left="720" w:right="720"/>
      </w:pPr>
      <w:r>
        <w:rPr>
          <w:rFonts w:ascii="Georgia" w:cs="Georgia" w:eastAsia="Georgia" w:hAnsi="Georgia"/>
          <w:i/>
          <w:iCs/>
          <w:sz w:val="22"/>
          <w:szCs w:val="22"/>
        </w:rPr>
        <w:t xml:space="preserve">“Edmond Gourney, born in this county [Norfolk], was bred in Queen’s and Bene’t Colledge in Cambridge, where he commenced Bachelour of Divinity, and afterwards was beneficed in this shire. An excellent scholar, who could be humorous, and would be serious, as he was himself disposed; his humours were never profane towards God, or injurious towards his neighbours; which premised none have cause to be displeased, if in his fancies he pleased himself.</w:t>
      </w:r>
    </w:p>
    <w:p>
      <w:pPr>
        <w:spacing w:after="80" w:before="80"/>
        <w:ind w:left="720" w:right="720"/>
      </w:pPr>
      <w:r>
        <w:rPr>
          <w:rFonts w:ascii="Georgia" w:cs="Georgia" w:eastAsia="Georgia" w:hAnsi="Georgia"/>
          <w:i/>
          <w:iCs/>
          <w:sz w:val="22"/>
          <w:szCs w:val="22"/>
        </w:rPr>
        <w:t xml:space="preserve">Coming to me in Cambridge when I was studying, he demanded of me the subject whereon I studied. I told him, ‘I was collecting the witnesses of the truth of the Protestant religion through all ages, even in the depth of Popery, conceiving it feasible, though difficult, to evidence them.’ ‘It is a needless pains,’ said he, ‘for I know that I am descended from Adam, though I cannot prove my pedigree from him.’</w:t>
      </w:r>
    </w:p>
    <w:p>
      <w:pPr>
        <w:spacing w:after="80" w:before="80"/>
        <w:ind w:left="720" w:right="720"/>
      </w:pPr>
      <w:r>
        <w:rPr>
          <w:rFonts w:ascii="Georgia" w:cs="Georgia" w:eastAsia="Georgia" w:hAnsi="Georgia"/>
          <w:i/>
          <w:iCs/>
          <w:sz w:val="22"/>
          <w:szCs w:val="22"/>
        </w:rPr>
        <w:t xml:space="preserve">And yet, reader, be pleased to take notice he was born of as good a family as any in Norfolk. His book against Transubstantion, and another on the Second Commandment, are learnedly and judiciously written. He died in the beginning of our Civil War.”</w:t>
      </w:r>
    </w:p>
    <w:p>
      <w:pPr>
        <w:spacing w:after="160"/>
        <w:ind w:left="720" w:right="720"/>
      </w:pPr>
      <w:r>
        <w:rPr>
          <w:rFonts w:ascii="Arial" w:cs="Arial" w:eastAsia="Arial" w:hAnsi="Arial"/>
          <w:color w:val="555555"/>
          <w:sz w:val="19"/>
          <w:szCs w:val="19"/>
        </w:rPr>
        <w:t xml:space="preserve">Thomas Fuller, The Worthies of England (1662), Norfolk. Reprinted in Anecdotes and Traditions (Camden Society, 1839), pp. 6–7.</w:t>
      </w:r>
    </w:p>
    <w:p>
      <w:pPr>
        <w:spacing w:after="120"/>
      </w:pPr>
      <w:r>
        <w:rPr>
          <w:rFonts w:ascii="Arial" w:cs="Arial" w:eastAsia="Arial" w:hAnsi="Arial"/>
          <w:sz w:val="21"/>
          <w:szCs w:val="21"/>
        </w:rPr>
        <w:t xml:space="preserve">Fuller’s portrait is remarkable for several reasons. First, it is a personal recollection — Fuller met Edmund in Cambridge and records their conversation verbatim. Second, Fuller explicitly notes Edmund’s high birth (“as good a family as any in Norfolk”) while praising his refusal to trade on it. Third, Edmund’s quip about Adam and pedigrees is an irony that resonates deeply with the genealogical problem this research addresses: Edmund himself could not have imagined that three and a half centuries later, his family’s pedigree would be the subject of exactly the kind of painstaking reconstruction he dismissed.</w:t>
      </w:r>
    </w:p>
    <w:p>
      <w:pPr>
        <w:spacing w:after="200"/>
      </w:pPr>
      <w:r>
        <w:rPr>
          <w:rFonts w:ascii="Arial" w:cs="Arial" w:eastAsia="Arial" w:hAnsi="Arial"/>
          <w:sz w:val="21"/>
          <w:szCs w:val="21"/>
        </w:rPr>
        <w:t xml:space="preserve">Edmund’s published works — against transubstantiation and on the Second Commandment (forbidding graven images) — place him squarely in the Puritan mainstream. He held Harpley rectory from 1620 until his death in 1648, having been presented by Sir William Yelverton, a patron of Puritan clergy. He is recorded as having “taken the Covenant,” aligning himself with Parliament in the Civil War.</w:t>
      </w:r>
    </w:p>
    <w:p>
      <w:pPr>
        <w:pBdr>
          <w:bottom w:val="single" w:color="CCCCCC" w:sz="4" w:space="1"/>
        </w:pBdr>
        <w:spacing w:before="200" w:after="200"/>
      </w:pPr>
    </w:p>
    <w:p>
      <w:pPr>
        <w:pStyle w:val="Heading3"/>
      </w:pPr>
      <w:r>
        <w:t xml:space="preserve">Anecdote No. CV — “Religious Equality”</w:t>
      </w:r>
    </w:p>
    <w:p>
      <w:pPr>
        <w:spacing w:after="80" w:before="80"/>
        <w:ind w:left="720" w:right="720"/>
      </w:pPr>
      <w:r>
        <w:rPr>
          <w:rFonts w:ascii="Georgia" w:cs="Georgia" w:eastAsia="Georgia" w:hAnsi="Georgia"/>
          <w:i/>
          <w:iCs/>
          <w:sz w:val="22"/>
          <w:szCs w:val="22"/>
        </w:rPr>
        <w:t xml:space="preserve">“Parson Edmund Gourny, inveighing against the common fault of the meaner sort of people, who are too prone to perforate civill and outward respects, upon the coming of greater persons into the church, by rising, bowing, &amp;c. sayes he: ‘I like an holy-rowly-Powlinesse; for there sure, if any where, we ought to be hale fellows well met.’”</w:t>
      </w:r>
    </w:p>
    <w:p>
      <w:pPr>
        <w:spacing w:after="160"/>
        <w:ind w:left="720" w:right="720"/>
      </w:pPr>
      <w:r>
        <w:rPr>
          <w:rFonts w:ascii="Arial" w:cs="Arial" w:eastAsia="Arial" w:hAnsi="Arial"/>
          <w:color w:val="555555"/>
          <w:sz w:val="19"/>
          <w:szCs w:val="19"/>
        </w:rPr>
        <w:t xml:space="preserve">L’Estrange, No. 451. Edw. Gourny.</w:t>
      </w:r>
    </w:p>
    <w:p>
      <w:pPr>
        <w:spacing w:after="120"/>
      </w:pPr>
      <w:r>
        <w:rPr>
          <w:rFonts w:ascii="Arial" w:cs="Arial" w:eastAsia="Arial" w:hAnsi="Arial"/>
          <w:sz w:val="21"/>
          <w:szCs w:val="21"/>
        </w:rPr>
        <w:t xml:space="preserve">This anecdote, again related by Edward Gurney of West Barsham, captures Edmund preaching against social deference in church. The “meaner sort of people” were rising and bowing when wealthy parishioners entered — precisely the kind of hierarchical display that Puritan reformers sought to abolish. Edmund’s wordplay on “holy-rowly-Powliness” (a pun on “holy politeness” and rough equality) shows a confident, witty preacher comfortable challenging gentry culture from the pulpit.</w:t>
      </w:r>
    </w:p>
    <w:p>
      <w:pPr>
        <w:spacing w:after="200"/>
      </w:pPr>
      <w:r>
        <w:rPr>
          <w:rFonts w:ascii="Arial" w:cs="Arial" w:eastAsia="Arial" w:hAnsi="Arial"/>
          <w:sz w:val="21"/>
          <w:szCs w:val="21"/>
        </w:rPr>
        <w:t xml:space="preserve">This is textbook Puritan ecclesiology: the doctrine of spiritual equality before God, rejecting social hierarchy within the gathered church. For the Candidate B hypothesis, this is significant contextual evidence. If John Gurney-1 grew up in Francis’s London household in the 1610s–1620s, Edmund would have been a regular family presence — visiting London, corresponding, shaping his nephews’ religious outlook. A young man influenced by this uncle’s egalitarian Puritanism is precisely the kind of person who would emigrate to Massachusetts Bay.</w:t>
      </w:r>
    </w:p>
    <w:p>
      <w:pPr>
        <w:pBdr>
          <w:bottom w:val="single" w:color="CCCCCC" w:sz="4" w:space="1"/>
        </w:pBdr>
        <w:spacing w:before="200" w:after="200"/>
      </w:pPr>
    </w:p>
    <w:p>
      <w:pPr>
        <w:pStyle w:val="Heading2"/>
      </w:pPr>
      <w:r>
        <w:t xml:space="preserve">II. Editor’s Biographical Identifications (1839)</w:t>
      </w:r>
    </w:p>
    <w:p>
      <w:pPr>
        <w:spacing w:after="160"/>
      </w:pPr>
      <w:r>
        <w:rPr>
          <w:rFonts w:ascii="Georgia" w:cs="Georgia" w:eastAsia="Georgia" w:hAnsi="Georgia"/>
          <w:sz w:val="23"/>
          <w:szCs w:val="23"/>
        </w:rPr>
        <w:t xml:space="preserve">The Camden Society edition was edited by “J.G.N.” (likely John Gough Nichols, antiquary), who provided extensive footnotes identifying the individuals mentioned in the anecdotes. His information about the Gurneys was supplied by Daniel Gurney of North Runcton, acknowledged in a footnote. These identifications predate Daniel Gurney’s own </w:t>
      </w:r>
      <w:r>
        <w:rPr>
          <w:rFonts w:ascii="Georgia" w:cs="Georgia" w:eastAsia="Georgia" w:hAnsi="Georgia"/>
          <w:i/>
          <w:iCs/>
          <w:sz w:val="23"/>
          <w:szCs w:val="23"/>
        </w:rPr>
        <w:t xml:space="preserve">Record of the House of Gournay</w:t>
      </w:r>
      <w:r>
        <w:rPr>
          <w:rFonts w:ascii="Georgia" w:cs="Georgia" w:eastAsia="Georgia" w:hAnsi="Georgia"/>
          <w:sz w:val="23"/>
          <w:szCs w:val="23"/>
        </w:rPr>
        <w:t xml:space="preserve"> (1848) by nine years, making them the earliest published version of Daniel’s research.</w:t>
      </w:r>
    </w:p>
    <w:p>
      <w:pPr>
        <w:spacing w:after="80" w:before="80"/>
        <w:ind w:left="720" w:right="720"/>
      </w:pPr>
      <w:r>
        <w:rPr>
          <w:rFonts w:ascii="Georgia" w:cs="Georgia" w:eastAsia="Georgia" w:hAnsi="Georgia"/>
          <w:i/>
          <w:iCs/>
          <w:sz w:val="22"/>
          <w:szCs w:val="22"/>
        </w:rPr>
        <w:t xml:space="preserve">“Francis Gurney (No. 120) was an uncle of Edward, and a merchant in London. In an account-book at Hunstanton, apparently written by Alice Lady Lestrange, is frequent mention of Francis Gurney the merchant.”</w:t>
      </w:r>
    </w:p>
    <w:p>
      <w:pPr>
        <w:spacing w:after="160"/>
        <w:ind w:left="720" w:right="720"/>
      </w:pPr>
      <w:r>
        <w:rPr>
          <w:rFonts w:ascii="Arial" w:cs="Arial" w:eastAsia="Arial" w:hAnsi="Arial"/>
          <w:color w:val="555555"/>
          <w:sz w:val="19"/>
          <w:szCs w:val="19"/>
        </w:rPr>
        <w:t xml:space="preserve">Anecdotes and Traditions (Camden Society, 1839), p. xix.</w:t>
      </w:r>
    </w:p>
    <w:p>
      <w:pPr>
        <w:spacing w:after="80" w:before="80"/>
        <w:ind w:left="720" w:right="720"/>
      </w:pPr>
      <w:r>
        <w:rPr>
          <w:rFonts w:ascii="Georgia" w:cs="Georgia" w:eastAsia="Georgia" w:hAnsi="Georgia"/>
          <w:i/>
          <w:iCs/>
          <w:sz w:val="22"/>
          <w:szCs w:val="22"/>
        </w:rPr>
        <w:t xml:space="preserve">“Parson Edmund Gurney,” whose facetiousness is exhibited in the Anecdotes xi. and cv. (hereafter pp. 6, 59), was brother to Francis. He was presented to the rectory of Edgefield in Norfolk by his uncle (by marriage) Richard Stubbe, Esq. in the year 1614, and held it until 1620; in which year he was preferred to the rectory of Harpley in the same county, on the presentation of Sir William Yelverton; and he seems to have held the latter benefice until 1648.”</w:t>
      </w:r>
    </w:p>
    <w:p>
      <w:pPr>
        <w:spacing w:after="160"/>
        <w:ind w:left="720" w:right="720"/>
      </w:pPr>
      <w:r>
        <w:rPr>
          <w:rFonts w:ascii="Arial" w:cs="Arial" w:eastAsia="Arial" w:hAnsi="Arial"/>
          <w:color w:val="555555"/>
          <w:sz w:val="19"/>
          <w:szCs w:val="19"/>
        </w:rPr>
        <w:t xml:space="preserve">Anecdotes and Traditions (Camden Society, 1839), p. xix.</w:t>
      </w:r>
    </w:p>
    <w:p>
      <w:pPr>
        <w:spacing w:after="80"/>
      </w:pPr>
      <w:r>
        <w:rPr>
          <w:rFonts w:ascii="Arial" w:cs="Arial" w:eastAsia="Arial" w:hAnsi="Arial"/>
          <w:sz w:val="21"/>
          <w:szCs w:val="21"/>
        </w:rPr>
        <w:t xml:space="preserve">The editor’s footnote also preserves a communication from Daniel Gurney regarding the Lestrange–Gurney family connections:</w:t>
      </w:r>
    </w:p>
    <w:p>
      <w:pPr>
        <w:spacing w:after="80" w:before="80"/>
        <w:ind w:left="720" w:right="720"/>
      </w:pPr>
      <w:r>
        <w:rPr>
          <w:rFonts w:ascii="Georgia" w:cs="Georgia" w:eastAsia="Georgia" w:hAnsi="Georgia"/>
          <w:i/>
          <w:iCs/>
          <w:sz w:val="22"/>
          <w:szCs w:val="22"/>
        </w:rPr>
        <w:t xml:space="preserve">“Independently of this connexion through the family of Stubbe, the Gurneys were related to the Lestranges through the Calthorpes and Heydons: and an old pedigree at Hunstanton gives a marriage of Lestrange and Gurney, but I have not met with a confirmation of this. The only coat of arms in glass remaining at Hunstanton Hall, previous to the late alterations, was Lestrange impaling Gourney; but I think this was intended for Heydon, the arms of which family are nearly similar to those of Gurney.”</w:t>
      </w:r>
    </w:p>
    <w:p>
      <w:pPr>
        <w:spacing w:after="160"/>
        <w:ind w:left="720" w:right="720"/>
      </w:pPr>
      <w:r>
        <w:rPr>
          <w:rFonts w:ascii="Arial" w:cs="Arial" w:eastAsia="Arial" w:hAnsi="Arial"/>
          <w:color w:val="555555"/>
          <w:sz w:val="19"/>
          <w:szCs w:val="19"/>
        </w:rPr>
        <w:t xml:space="preserve">Communication of Daniel Gurney, Esq. of North Runcton in Norfolk, F.S.A. Anecdotes and Traditions (Camden Society, 1839), p. xix, note.</w:t>
      </w:r>
    </w:p>
    <w:p>
      <w:pPr>
        <w:pBdr>
          <w:bottom w:val="single" w:color="CCCCCC" w:sz="4" w:space="1"/>
        </w:pBdr>
        <w:spacing w:before="200" w:after="200"/>
      </w:pPr>
    </w:p>
    <w:p>
      <w:pPr>
        <w:pStyle w:val="Heading2"/>
      </w:pPr>
      <w:r>
        <w:t xml:space="preserve">III. Henry Gurnay’s Memorandum on His Twin Sons (1597)</w:t>
      </w:r>
    </w:p>
    <w:p>
      <w:pPr>
        <w:spacing w:after="160"/>
      </w:pPr>
      <w:r>
        <w:rPr>
          <w:rFonts w:ascii="Georgia" w:cs="Georgia" w:eastAsia="Georgia" w:hAnsi="Georgia"/>
          <w:sz w:val="23"/>
          <w:szCs w:val="23"/>
        </w:rPr>
        <w:t xml:space="preserve">Henry Gurnay of Great Ellingham (1548–1616), father of Francis, kept personal memoranda about his children. Daniel Gurney transcribed the following passage in his Supplement (Note 181), recording Henry’s observations of his twin sons Francis and Anthony at age sixteen. This is the only surviving physical description of anyone in the Gurney lineage before the 19th century.</w:t>
      </w:r>
    </w:p>
    <w:p>
      <w:pPr>
        <w:spacing w:after="80" w:before="80"/>
        <w:ind w:left="720" w:right="720"/>
      </w:pPr>
      <w:r>
        <w:rPr>
          <w:rFonts w:ascii="Georgia" w:cs="Georgia" w:eastAsia="Georgia" w:hAnsi="Georgia"/>
          <w:i/>
          <w:iCs/>
          <w:sz w:val="22"/>
          <w:szCs w:val="22"/>
        </w:rPr>
        <w:t xml:space="preserve">“Francis Gurnay, sixth son of Henry Gurnay, Esq., and Ellen Blennerhasset, ancestor of the present family of the Gurneys of Keswick, was born 13th Sep., 1581, being twin with his brother Anthony Gurnaye, Mr. Francis Wodehouse of Breckles, John Blennerhasset his uncle, and his aunt Elizabeth, wife of Thomas Golding, Gent., being sponsors.</w:t>
      </w:r>
    </w:p>
    <w:p>
      <w:pPr>
        <w:spacing w:after="80" w:before="80"/>
        <w:ind w:left="720" w:right="720"/>
      </w:pPr>
      <w:r>
        <w:rPr>
          <w:rFonts w:ascii="Georgia" w:cs="Georgia" w:eastAsia="Georgia" w:hAnsi="Georgia"/>
          <w:i/>
          <w:iCs/>
          <w:sz w:val="22"/>
          <w:szCs w:val="22"/>
        </w:rPr>
        <w:t xml:space="preserve">‘Lower than his brother Anth. at their age of 16 years just four inches, his voice unchanged whereas his brother Anthony’s changed almost a year since.’</w:t>
      </w:r>
    </w:p>
    <w:p>
      <w:pPr>
        <w:spacing w:after="80" w:before="80"/>
        <w:ind w:left="720" w:right="720"/>
      </w:pPr>
      <w:r>
        <w:rPr>
          <w:rFonts w:ascii="Georgia" w:cs="Georgia" w:eastAsia="Georgia" w:hAnsi="Georgia"/>
          <w:i/>
          <w:iCs/>
          <w:sz w:val="22"/>
          <w:szCs w:val="22"/>
        </w:rPr>
        <w:t xml:space="preserve">This is his father’s account of him at that period (1597).”</w:t>
      </w:r>
    </w:p>
    <w:p>
      <w:pPr>
        <w:spacing w:after="160"/>
        <w:ind w:left="720" w:right="720"/>
      </w:pPr>
      <w:r>
        <w:rPr>
          <w:rFonts w:ascii="Arial" w:cs="Arial" w:eastAsia="Arial" w:hAnsi="Arial"/>
          <w:color w:val="555555"/>
          <w:sz w:val="19"/>
          <w:szCs w:val="19"/>
        </w:rPr>
        <w:t xml:space="preserve">Daniel Gurney, Supplement to the Record of the House of Gournay (1858), Note 181, pp. 1053–1054. Henry Gurnay’s original memorandum: manuscript, location unknown (transcribed by Daniel Gurney from family papers).</w:t>
      </w:r>
    </w:p>
    <w:p>
      <w:pPr>
        <w:spacing w:after="120"/>
      </w:pPr>
      <w:r>
        <w:rPr>
          <w:rFonts w:ascii="Arial" w:cs="Arial" w:eastAsia="Arial" w:hAnsi="Arial"/>
          <w:sz w:val="21"/>
          <w:szCs w:val="21"/>
        </w:rPr>
        <w:t xml:space="preserve">Henry’s memorandum tells us that in 1597, at age sixteen, Francis was four inches shorter than his twin Anthony, and his voice had not yet broken. He was a late physical developer. The note about sponsors at baptism confirms the family’s social connections: Francis Wodehouse of Breckles was Norfolk gentry; John Blennerhasset was Francis’s maternal uncle; and Elizabeth Golding (née Blennerhassett) was his maternal aunt.</w:t>
      </w:r>
    </w:p>
    <w:p>
      <w:pPr>
        <w:spacing w:after="200"/>
      </w:pPr>
      <w:r>
        <w:rPr>
          <w:rFonts w:ascii="Arial" w:cs="Arial" w:eastAsia="Arial" w:hAnsi="Arial"/>
          <w:sz w:val="21"/>
          <w:szCs w:val="21"/>
        </w:rPr>
        <w:t xml:space="preserve">Within nine years of this description, the small, late-developing boy would be apprenticed to a London Merchant Taylor, beginning the trajectory that would take the Gurney family from Norfolk gentry into City of London commerce — and, if the Candidate B hypothesis is correct, eventually to colonial Massachusetts.</w:t>
      </w:r>
    </w:p>
    <w:p>
      <w:pPr>
        <w:pBdr>
          <w:bottom w:val="single" w:color="CCCCCC" w:sz="4" w:space="1"/>
        </w:pBdr>
        <w:spacing w:before="200" w:after="200"/>
      </w:pPr>
    </w:p>
    <w:p>
      <w:pPr>
        <w:pStyle w:val="Heading2"/>
      </w:pPr>
      <w:r>
        <w:t xml:space="preserve">IV. Daniel Gurney’s Assessment of Francis’s Character (1858)</w:t>
      </w:r>
    </w:p>
    <w:p>
      <w:pPr>
        <w:spacing w:after="160"/>
      </w:pPr>
      <w:r>
        <w:rPr>
          <w:rFonts w:ascii="Georgia" w:cs="Georgia" w:eastAsia="Georgia" w:hAnsi="Georgia"/>
          <w:sz w:val="23"/>
          <w:szCs w:val="23"/>
        </w:rPr>
        <w:t xml:space="preserve">Daniel Gurney’s Supplement Note 181 contains the most sustained assessment of Francis’s personality and business career. Though written two centuries after the fact, it draws on the Lestrange account books and other primary documents.</w:t>
      </w:r>
    </w:p>
    <w:p>
      <w:pPr>
        <w:spacing w:after="80" w:before="80"/>
        <w:ind w:left="720" w:right="720"/>
      </w:pPr>
      <w:r>
        <w:rPr>
          <w:rFonts w:ascii="Georgia" w:cs="Georgia" w:eastAsia="Georgia" w:hAnsi="Georgia"/>
          <w:i/>
          <w:iCs/>
          <w:sz w:val="22"/>
          <w:szCs w:val="22"/>
        </w:rPr>
        <w:t xml:space="preserve">“He seems to have been a man of somewhat unsettled and speculative habits.”</w:t>
      </w:r>
    </w:p>
    <w:p>
      <w:pPr>
        <w:spacing w:after="160"/>
        <w:ind w:left="720" w:right="720"/>
      </w:pPr>
      <w:r>
        <w:rPr>
          <w:rFonts w:ascii="Arial" w:cs="Arial" w:eastAsia="Arial" w:hAnsi="Arial"/>
          <w:color w:val="555555"/>
          <w:sz w:val="19"/>
          <w:szCs w:val="19"/>
        </w:rPr>
        <w:t xml:space="preserve">Daniel Gurney, Supplement Note 181, p. 1053.</w:t>
      </w:r>
    </w:p>
    <w:p>
      <w:pPr>
        <w:spacing w:after="80" w:before="80"/>
        <w:ind w:left="720" w:right="720"/>
      </w:pPr>
      <w:r>
        <w:rPr>
          <w:rFonts w:ascii="Georgia" w:cs="Georgia" w:eastAsia="Georgia" w:hAnsi="Georgia"/>
          <w:i/>
          <w:iCs/>
          <w:sz w:val="22"/>
          <w:szCs w:val="22"/>
        </w:rPr>
        <w:t xml:space="preserve">“By these accounts it is evident Francis Gurney acted as a sort of banker and agent to the Lestranges; and probably to others; but his condition in life apparently became deteriorated after his failure in 1625.”</w:t>
      </w:r>
    </w:p>
    <w:p>
      <w:pPr>
        <w:spacing w:after="160"/>
        <w:ind w:left="720" w:right="720"/>
      </w:pPr>
      <w:r>
        <w:rPr>
          <w:rFonts w:ascii="Arial" w:cs="Arial" w:eastAsia="Arial" w:hAnsi="Arial"/>
          <w:color w:val="555555"/>
          <w:sz w:val="19"/>
          <w:szCs w:val="19"/>
        </w:rPr>
        <w:t xml:space="preserve">Daniel Gurney, Supplement Note 181, p. 1056.</w:t>
      </w:r>
    </w:p>
    <w:p>
      <w:pPr>
        <w:spacing w:after="80" w:before="80"/>
        <w:ind w:left="720" w:right="720"/>
      </w:pPr>
      <w:r>
        <w:rPr>
          <w:rFonts w:ascii="Georgia" w:cs="Georgia" w:eastAsia="Georgia" w:hAnsi="Georgia"/>
          <w:i/>
          <w:iCs/>
          <w:sz w:val="22"/>
          <w:szCs w:val="22"/>
        </w:rPr>
        <w:t xml:space="preserve">“I have not found in what year or where Francis Gurnay, of London, died. There is no notice of his death or burial in the register of St. Benet Fink.”</w:t>
      </w:r>
    </w:p>
    <w:p>
      <w:pPr>
        <w:spacing w:after="160"/>
        <w:ind w:left="720" w:right="720"/>
      </w:pPr>
      <w:r>
        <w:rPr>
          <w:rFonts w:ascii="Arial" w:cs="Arial" w:eastAsia="Arial" w:hAnsi="Arial"/>
          <w:color w:val="555555"/>
          <w:sz w:val="19"/>
          <w:szCs w:val="19"/>
        </w:rPr>
        <w:t xml:space="preserve">Daniel Gurney, Supplement Note 181, p. 1057.</w:t>
      </w:r>
    </w:p>
    <w:p>
      <w:pPr>
        <w:spacing w:after="120"/>
      </w:pPr>
      <w:r>
        <w:rPr>
          <w:rFonts w:ascii="Arial" w:cs="Arial" w:eastAsia="Arial" w:hAnsi="Arial"/>
          <w:sz w:val="21"/>
          <w:szCs w:val="21"/>
        </w:rPr>
        <w:t xml:space="preserve">Daniel’s portrait is of a man who started with advantages — good birth, a Merchant Taylor’s freedom, connections to the Lestrange household and the City of London — but whose “unsettled and speculative habits” led to financial failure. The 1622 Lynn worsted manufacturing venture collapsed by 1625, dragging down his guarantors (Sir Hamon Lestrange and Sir William Yelverton). Francis then sold all his Norfolk and Suffolk lands to Sir Owen Smith in July 1634. By 1636 he disappears from the Lestrange accounts entirely. The 1646 Royalist Composition Papers show he was likely still alive at age 65, sustained by an £8 annuity from his wife’s family. Daniel, despite exhaustive research, could find neither his will nor his burial record.</w:t>
      </w:r>
    </w:p>
    <w:p>
      <w:pPr>
        <w:spacing w:after="200"/>
      </w:pPr>
      <w:r>
        <w:rPr>
          <w:rFonts w:ascii="Arial" w:cs="Arial" w:eastAsia="Arial" w:hAnsi="Arial"/>
          <w:sz w:val="21"/>
          <w:szCs w:val="21"/>
        </w:rPr>
        <w:t xml:space="preserve">This trajectory — from privileged younger son to London merchant to financial ruin to disappearance — is the context within which a hypothetical eldest son John would have decided to emigrate. By 1634, there was nothing left to inherit. By 1636, Francis was no longer functioning as anyone’s agent. A son born c.1603, aged 31 in 1634, married with young children, would have seen the writing on the wall.</w:t>
      </w:r>
    </w:p>
    <w:p>
      <w:pPr>
        <w:pBdr>
          <w:bottom w:val="single" w:color="CCCCCC" w:sz="4" w:space="1"/>
        </w:pBdr>
        <w:spacing w:before="200" w:after="200"/>
      </w:pPr>
    </w:p>
    <w:p>
      <w:pPr>
        <w:pStyle w:val="Heading2"/>
      </w:pPr>
      <w:r>
        <w:t xml:space="preserve">Full Citations</w:t>
      </w:r>
    </w:p>
    <w:p>
      <w:pPr>
        <w:spacing w:after="40"/>
      </w:pPr>
      <w:r>
        <w:rPr>
          <w:rFonts w:ascii="Georgia" w:cs="Georgia" w:eastAsia="Georgia" w:hAnsi="Georgia"/>
          <w:b/>
          <w:bCs/>
          <w:sz w:val="23"/>
          <w:szCs w:val="23"/>
        </w:rPr>
        <w:t xml:space="preserve">Lestrange Anecdotes:</w:t>
      </w:r>
    </w:p>
    <w:p>
      <w:pPr>
        <w:spacing w:after="80"/>
      </w:pPr>
      <w:r>
        <w:rPr>
          <w:rFonts w:ascii="Georgia" w:cs="Georgia" w:eastAsia="Georgia" w:hAnsi="Georgia"/>
          <w:sz w:val="23"/>
          <w:szCs w:val="23"/>
        </w:rPr>
        <w:t xml:space="preserve">Anecdotes and Traditions, Illustrative of Early English History and Literature, Derived from MS. Sources. Edited by William J. Thoms. Camden Society, No. 5. London: John Bowyer Nichols and Son, 1839. Part 1 from Harleian MSS No. 6395, “Merry Passages and Jests,” composed by Sir Nicholas Lestrange.</w:t>
      </w:r>
    </w:p>
    <w:p>
      <w:pPr>
        <w:spacing w:after="160"/>
      </w:pPr>
      <w:r>
        <w:rPr>
          <w:rFonts w:ascii="Arial" w:cs="Arial" w:eastAsia="Arial" w:hAnsi="Arial"/>
          <w:color w:val="555555"/>
          <w:sz w:val="19"/>
          <w:szCs w:val="19"/>
        </w:rPr>
        <w:t xml:space="preserve">Internet Archive: https://archive.org/details/trent_0116401961739_5</w:t>
      </w:r>
    </w:p>
    <w:p>
      <w:pPr>
        <w:spacing w:after="40"/>
      </w:pPr>
      <w:r>
        <w:rPr>
          <w:rFonts w:ascii="Georgia" w:cs="Georgia" w:eastAsia="Georgia" w:hAnsi="Georgia"/>
          <w:b/>
          <w:bCs/>
          <w:sz w:val="23"/>
          <w:szCs w:val="23"/>
        </w:rPr>
        <w:t xml:space="preserve">Fuller’s Worthies:</w:t>
      </w:r>
    </w:p>
    <w:p>
      <w:pPr>
        <w:spacing w:after="160"/>
      </w:pPr>
      <w:r>
        <w:rPr>
          <w:rFonts w:ascii="Georgia" w:cs="Georgia" w:eastAsia="Georgia" w:hAnsi="Georgia"/>
          <w:sz w:val="23"/>
          <w:szCs w:val="23"/>
        </w:rPr>
        <w:t xml:space="preserve">Fuller, Thomas. The History of the Worthies of England. London, 1662. Norfolk section. As reprinted in Anecdotes and Traditions (Camden Society, 1839), pp. 6–7.</w:t>
      </w:r>
    </w:p>
    <w:p>
      <w:pPr>
        <w:spacing w:after="40"/>
      </w:pPr>
      <w:r>
        <w:rPr>
          <w:rFonts w:ascii="Georgia" w:cs="Georgia" w:eastAsia="Georgia" w:hAnsi="Georgia"/>
          <w:b/>
          <w:bCs/>
          <w:sz w:val="23"/>
          <w:szCs w:val="23"/>
        </w:rPr>
        <w:t xml:space="preserve">Daniel Gurney’s Supplement:</w:t>
      </w:r>
    </w:p>
    <w:p>
      <w:pPr>
        <w:spacing w:after="160"/>
      </w:pPr>
      <w:r>
        <w:rPr>
          <w:rFonts w:ascii="Georgia" w:cs="Georgia" w:eastAsia="Georgia" w:hAnsi="Georgia"/>
          <w:sz w:val="23"/>
          <w:szCs w:val="23"/>
        </w:rPr>
        <w:t xml:space="preserve">Gurney, Daniel. Supplement to the Record of the House of Gournay. London: printed for private distribution, 1858. Note 181, pp. 1053–1057.</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120" w:after="240"/>
      <w:outlineLvl w:val="0"/>
    </w:pPr>
    <w:rPr>
      <w:rFonts w:ascii="Georgia" w:cs="Georgia" w:eastAsia="Georgia" w:hAnsi="Georgia"/>
      <w:b/>
      <w:bCs/>
      <w:color w:val="1A3C5E"/>
      <w:sz w:val="36"/>
      <w:szCs w:val="36"/>
    </w:rPr>
  </w:style>
  <w:style w:type="paragraph" w:styleId="Heading2">
    <w:name w:val="Heading 2"/>
    <w:basedOn w:val="Normal"/>
    <w:next w:val="Normal"/>
    <w:qFormat/>
    <w:pPr>
      <w:spacing w:before="280" w:after="160"/>
      <w:outlineLvl w:val="1"/>
    </w:pPr>
    <w:rPr>
      <w:rFonts w:ascii="Georgia" w:cs="Georgia" w:eastAsia="Georgia" w:hAnsi="Georgia"/>
      <w:b/>
      <w:bCs/>
      <w:color w:val="2E4057"/>
      <w:sz w:val="28"/>
      <w:szCs w:val="28"/>
    </w:rPr>
  </w:style>
  <w:style w:type="paragraph" w:styleId="Heading3">
    <w:name w:val="Heading 3"/>
    <w:basedOn w:val="Normal"/>
    <w:next w:val="Normal"/>
    <w:qFormat/>
    <w:pPr>
      <w:spacing w:before="200" w:after="100"/>
      <w:outlineLvl w:val="2"/>
    </w:pPr>
    <w:rPr>
      <w:rFonts w:ascii="Georgia" w:cs="Georgia" w:eastAsia="Georgia" w:hAnsi="Georgia"/>
      <w:b/>
      <w:bCs/>
      <w:i/>
      <w:iCs/>
      <w:color w:val="2E405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2026-03-22T01:37:42.050Z</dcterms:created>
  <dcterms:modified xsi:type="dcterms:W3CDTF">2026-03-22T01:37:42.050Z</dcterms:modified>
</cp:coreProperties>
</file>

<file path=docProps/custom.xml><?xml version="1.0" encoding="utf-8"?>
<Properties xmlns="http://schemas.openxmlformats.org/officeDocument/2006/custom-properties" xmlns:vt="http://schemas.openxmlformats.org/officeDocument/2006/docPropsVTypes"/>
</file>