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Allen H Enterprise Network Configuration Report</w:t>
      </w:r>
    </w:p>
    <w:p>
      <w:pPr>
        <w:pStyle w:val="Heading2"/>
      </w:pPr>
      <w:r>
        <w:t>1. Project Overview</w:t>
      </w:r>
    </w:p>
    <w:p>
      <w:r>
        <w:t>This enterprise network integrates the Allen H Main Campus, Campus 2 Branch, and Cloud Network into a unified routed infrastructure. The design uses VLAN segmentation at campus sites, Router-on-a-Stick inter-VLAN routing, and RIPv2 for dynamic WAN routing.</w:t>
      </w:r>
    </w:p>
    <w:p>
      <w:pPr>
        <w:pStyle w:val="Heading2"/>
      </w:pPr>
      <w:r>
        <w:t>2. Enterprise Network Topology</w:t>
      </w:r>
    </w:p>
    <w:p>
      <w:r>
        <w:drawing>
          <wp:inline xmlns:a="http://schemas.openxmlformats.org/drawingml/2006/main" xmlns:pic="http://schemas.openxmlformats.org/drawingml/2006/picture">
            <wp:extent cx="5486400" cy="35335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H_Enterprise_Top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3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Addressing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Site</w:t>
            </w:r>
          </w:p>
        </w:tc>
        <w:tc>
          <w:tcPr>
            <w:tcW w:type="dxa" w:w="2160"/>
          </w:tcPr>
          <w:p>
            <w:r>
              <w:t>Network Range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Routing</w:t>
            </w:r>
          </w:p>
        </w:tc>
      </w:tr>
      <w:tr>
        <w:tc>
          <w:tcPr>
            <w:tcW w:type="dxa" w:w="2160"/>
          </w:tcPr>
          <w:p>
            <w:r>
              <w:t>Main Campus</w:t>
            </w:r>
          </w:p>
        </w:tc>
        <w:tc>
          <w:tcPr>
            <w:tcW w:type="dxa" w:w="2160"/>
          </w:tcPr>
          <w:p>
            <w:r>
              <w:t>192.168.1.0 – 192.168.8.0</w:t>
            </w:r>
          </w:p>
        </w:tc>
        <w:tc>
          <w:tcPr>
            <w:tcW w:type="dxa" w:w="2160"/>
          </w:tcPr>
          <w:p>
            <w:r>
              <w:t>Department VLANs</w:t>
            </w:r>
          </w:p>
        </w:tc>
        <w:tc>
          <w:tcPr>
            <w:tcW w:type="dxa" w:w="2160"/>
          </w:tcPr>
          <w:p>
            <w:r>
              <w:t>RIPv2</w:t>
            </w:r>
          </w:p>
        </w:tc>
      </w:tr>
      <w:tr>
        <w:tc>
          <w:tcPr>
            <w:tcW w:type="dxa" w:w="2160"/>
          </w:tcPr>
          <w:p>
            <w:r>
              <w:t>Campus 2</w:t>
            </w:r>
          </w:p>
        </w:tc>
        <w:tc>
          <w:tcPr>
            <w:tcW w:type="dxa" w:w="2160"/>
          </w:tcPr>
          <w:p>
            <w:r>
              <w:t>192.168.9.0 – 192.168.10.0</w:t>
            </w:r>
          </w:p>
        </w:tc>
        <w:tc>
          <w:tcPr>
            <w:tcW w:type="dxa" w:w="2160"/>
          </w:tcPr>
          <w:p>
            <w:r>
              <w:t>Staff / Student</w:t>
            </w:r>
          </w:p>
        </w:tc>
        <w:tc>
          <w:tcPr>
            <w:tcW w:type="dxa" w:w="2160"/>
          </w:tcPr>
          <w:p>
            <w:r>
              <w:t>RIPv2</w:t>
            </w:r>
          </w:p>
        </w:tc>
      </w:tr>
      <w:tr>
        <w:tc>
          <w:tcPr>
            <w:tcW w:type="dxa" w:w="2160"/>
          </w:tcPr>
          <w:p>
            <w:r>
              <w:t>Cloud</w:t>
            </w:r>
          </w:p>
        </w:tc>
        <w:tc>
          <w:tcPr>
            <w:tcW w:type="dxa" w:w="2160"/>
          </w:tcPr>
          <w:p>
            <w:r>
              <w:t>20.0.0.0 /30</w:t>
            </w:r>
          </w:p>
        </w:tc>
        <w:tc>
          <w:tcPr>
            <w:tcW w:type="dxa" w:w="2160"/>
          </w:tcPr>
          <w:p>
            <w:r>
              <w:t>ISP Connectivity</w:t>
            </w:r>
          </w:p>
        </w:tc>
        <w:tc>
          <w:tcPr>
            <w:tcW w:type="dxa" w:w="2160"/>
          </w:tcPr>
          <w:p>
            <w:r>
              <w:t>RIPv2</w:t>
            </w:r>
          </w:p>
        </w:tc>
      </w:tr>
    </w:tbl>
    <w:p>
      <w:pPr>
        <w:pStyle w:val="Heading2"/>
      </w:pPr>
      <w:r>
        <w:t>4. Site Configurations</w:t>
      </w:r>
    </w:p>
    <w:p>
      <w:r>
        <w:t>Detailed router and switch configurations for each site are maintained in their respective campus configuration reports. This enterprise report documents the overall architecture and inter-site connectivity.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