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E668" w14:textId="2D4B1BB3" w:rsidR="007E0AC7" w:rsidRPr="007E0AC7" w:rsidRDefault="007E0AC7" w:rsidP="007E0AC7">
      <w:pPr>
        <w:pStyle w:val="Heading1"/>
      </w:pPr>
      <w:r w:rsidRPr="007E0AC7">
        <w:t>Introduction</w:t>
      </w:r>
      <w:r w:rsidRPr="007E0AC7">
        <w:br w:type="page"/>
      </w:r>
    </w:p>
    <w:p w14:paraId="5DDFA54A" w14:textId="2574A01B" w:rsidR="00A64E60" w:rsidRPr="00702631" w:rsidRDefault="00702631" w:rsidP="00702631">
      <w:pPr>
        <w:pStyle w:val="Heading1"/>
        <w:rPr>
          <w:color w:val="000000" w:themeColor="text1"/>
          <w:lang w:val="de-DE"/>
        </w:rPr>
      </w:pPr>
      <w:r w:rsidRPr="00702631">
        <w:rPr>
          <w:color w:val="000000" w:themeColor="text1"/>
          <w:lang w:val="de-DE"/>
        </w:rPr>
        <w:lastRenderedPageBreak/>
        <w:t>Materials and methods</w:t>
      </w:r>
    </w:p>
    <w:p w14:paraId="58992DB2" w14:textId="77777777" w:rsidR="00702631" w:rsidRPr="00702631" w:rsidRDefault="00702631">
      <w:pPr>
        <w:rPr>
          <w:color w:val="000000" w:themeColor="text1"/>
          <w:lang w:val="de-DE"/>
        </w:rPr>
      </w:pPr>
    </w:p>
    <w:p w14:paraId="69675036" w14:textId="3B7D26B2" w:rsidR="00702631" w:rsidRDefault="00702631" w:rsidP="00702631">
      <w:pPr>
        <w:pStyle w:val="Heading2"/>
        <w:rPr>
          <w:color w:val="000000" w:themeColor="text1"/>
          <w:lang w:val="de-DE"/>
        </w:rPr>
      </w:pPr>
      <w:r w:rsidRPr="00702631">
        <w:rPr>
          <w:color w:val="000000" w:themeColor="text1"/>
          <w:lang w:val="de-DE"/>
        </w:rPr>
        <w:t>Sample collection and processing</w:t>
      </w:r>
    </w:p>
    <w:p w14:paraId="69FF01EA" w14:textId="77777777" w:rsidR="000122E8" w:rsidRDefault="000122E8" w:rsidP="000122E8"/>
    <w:p w14:paraId="104ACAF3" w14:textId="03CB59B0" w:rsidR="00AD0F8B" w:rsidRDefault="000122E8" w:rsidP="000122E8">
      <w:pPr>
        <w:spacing w:line="360" w:lineRule="auto"/>
      </w:pPr>
      <w:r>
        <w:tab/>
      </w:r>
      <w:r w:rsidR="00AD0F8B">
        <w:t xml:space="preserve">For this study, we chose two different cooling towers located on the rooftop of two different hospitals in Vienna for sampling. </w:t>
      </w:r>
      <w:r w:rsidR="00AD7440">
        <w:t xml:space="preserve">The first hospital is located near the center of Vienna whereas the second hospital is located at Vienna’s periphery. </w:t>
      </w:r>
      <w:r w:rsidR="00AD0F8B">
        <w:t>The two locations are hereafter referred to as “Cooling-Tower 1” (CT-01) and “Co</w:t>
      </w:r>
      <w:r w:rsidR="0087610A">
        <w:t>oling-Tower 2” (CT-02). After a</w:t>
      </w:r>
      <w:r w:rsidR="00AD0F8B">
        <w:t xml:space="preserve"> </w:t>
      </w:r>
      <w:r w:rsidR="00AD0F8B">
        <w:rPr>
          <w:i/>
        </w:rPr>
        <w:t xml:space="preserve">Legionella </w:t>
      </w:r>
      <w:r w:rsidR="00AD0F8B">
        <w:t xml:space="preserve">outbreak in 2007, CT-01 </w:t>
      </w:r>
      <w:r w:rsidR="00AD7440">
        <w:t>was demolished and renewed.</w:t>
      </w:r>
      <w:r w:rsidR="00AD0F8B">
        <w:t xml:space="preserve"> </w:t>
      </w:r>
      <w:r w:rsidR="0087610A">
        <w:t>For both sites, the water temperature were recorded throughout the study, whereas pH-value were only obtained from CT-02.</w:t>
      </w:r>
    </w:p>
    <w:p w14:paraId="7F7751C8" w14:textId="77777777" w:rsidR="00AD0F8B" w:rsidRDefault="00AD0F8B" w:rsidP="000122E8">
      <w:pPr>
        <w:spacing w:line="360" w:lineRule="auto"/>
      </w:pPr>
    </w:p>
    <w:p w14:paraId="576D8E41" w14:textId="20F73F96" w:rsidR="00D72BD3" w:rsidRDefault="009A1241" w:rsidP="000122E8">
      <w:pPr>
        <w:spacing w:line="360" w:lineRule="auto"/>
        <w:rPr>
          <w:noProof/>
        </w:rPr>
      </w:pPr>
      <w:r>
        <w:t xml:space="preserve">During the sampling period between September 2013 and September 2014, water samples </w:t>
      </w:r>
      <w:r w:rsidR="00AD0F8B">
        <w:t xml:space="preserve">were retrieved biweekly. </w:t>
      </w:r>
      <w:r w:rsidR="000122E8">
        <w:t>This study included water samples from two different cooling towers located on the rooftop of two hospitals</w:t>
      </w:r>
      <w:r w:rsidR="0087610A">
        <w:t xml:space="preserve"> in Vienna. 3</w:t>
      </w:r>
      <w:r w:rsidR="000122E8">
        <w:t xml:space="preserve"> L water was taken from the basin of the tank and stored at 4°C for a da</w:t>
      </w:r>
      <w:r w:rsidR="0087610A">
        <w:t xml:space="preserve">y before further processing. 100 ml water samples were analysed for </w:t>
      </w:r>
      <w:r w:rsidR="0087610A" w:rsidRPr="0087610A">
        <w:rPr>
          <w:i/>
        </w:rPr>
        <w:t>Legionella</w:t>
      </w:r>
      <w:r w:rsidR="0087610A">
        <w:t xml:space="preserve"> spp. CFU/100 ml after centrifugation and filtration according to </w:t>
      </w:r>
      <w:r w:rsidR="0087610A" w:rsidRPr="001502D6">
        <w:rPr>
          <w:noProof/>
        </w:rPr>
        <w:t xml:space="preserve">ISO 11731-2:2004 </w:t>
      </w:r>
      <w:r w:rsidR="0087610A">
        <w:rPr>
          <w:noProof/>
        </w:rPr>
        <w:t>(</w:t>
      </w:r>
      <w:r w:rsidR="0087610A" w:rsidRPr="001502D6">
        <w:rPr>
          <w:noProof/>
        </w:rPr>
        <w:t>International Organization for Standardization, 2004</w:t>
      </w:r>
      <w:r w:rsidR="0087610A">
        <w:t xml:space="preserve">) and the </w:t>
      </w:r>
      <w:r w:rsidR="0087610A">
        <w:rPr>
          <w:i/>
        </w:rPr>
        <w:t>mip</w:t>
      </w:r>
      <w:r w:rsidR="0087610A">
        <w:t xml:space="preserve">-gene sequencing was used for the identification of the </w:t>
      </w:r>
      <w:r w:rsidR="0087610A">
        <w:rPr>
          <w:i/>
        </w:rPr>
        <w:t>Legionella</w:t>
      </w:r>
      <w:r w:rsidR="0087610A">
        <w:t xml:space="preserve"> species.</w:t>
      </w:r>
      <w:r w:rsidR="00F36B14">
        <w:t xml:space="preserve"> </w:t>
      </w:r>
      <w:r w:rsidR="00F36B14">
        <w:rPr>
          <w:i/>
        </w:rPr>
        <w:t>Pseudomonas aeruginosa</w:t>
      </w:r>
      <w:r w:rsidR="00F36B14">
        <w:t xml:space="preserve"> was evaluated based on </w:t>
      </w:r>
      <w:r w:rsidR="00F36B14" w:rsidRPr="001502D6">
        <w:rPr>
          <w:noProof/>
        </w:rPr>
        <w:t>ISO 16266:2008</w:t>
      </w:r>
      <w:r w:rsidR="00F36B14">
        <w:rPr>
          <w:noProof/>
        </w:rPr>
        <w:t xml:space="preserve"> and the total heterotrophic bacteria were counted as CFU in 1 ml  at 36°C (</w:t>
      </w:r>
      <w:r w:rsidR="00F36B14" w:rsidRPr="001502D6">
        <w:rPr>
          <w:noProof/>
        </w:rPr>
        <w:t>ISO 6222:1999</w:t>
      </w:r>
      <w:r w:rsidR="00F36B14">
        <w:rPr>
          <w:noProof/>
        </w:rPr>
        <w:t>).</w:t>
      </w:r>
    </w:p>
    <w:p w14:paraId="175B8BAA" w14:textId="77777777" w:rsidR="00C5359A" w:rsidRDefault="00C5359A" w:rsidP="00C5359A">
      <w:pPr>
        <w:spacing w:line="360" w:lineRule="auto"/>
        <w:rPr>
          <w:noProof/>
        </w:rPr>
      </w:pPr>
    </w:p>
    <w:p w14:paraId="00F6CE78" w14:textId="4582151A" w:rsidR="00C5359A" w:rsidRPr="00D72BD3" w:rsidRDefault="00C5359A" w:rsidP="00C5359A">
      <w:pPr>
        <w:spacing w:line="360" w:lineRule="auto"/>
        <w:rPr>
          <w:noProof/>
        </w:rPr>
      </w:pPr>
      <w:r w:rsidRPr="00D72BD3">
        <w:rPr>
          <w:noProof/>
        </w:rPr>
        <w:t xml:space="preserve">2 L </w:t>
      </w:r>
      <w:r>
        <w:rPr>
          <w:noProof/>
        </w:rPr>
        <w:t xml:space="preserve">water samples were stirred first and then vacuum-filtered onto a cellulose nitrate filter (12.5 </w:t>
      </w:r>
      <w:r w:rsidRPr="00DE01D6">
        <w:t>cm</w:t>
      </w:r>
      <w:r w:rsidRPr="00D1119A">
        <w:rPr>
          <w:vertAlign w:val="superscript"/>
        </w:rPr>
        <w:t>2</w:t>
      </w:r>
      <w:r>
        <w:rPr>
          <w:noProof/>
        </w:rPr>
        <w:t>; 11407-50-ACN, Sartorius stedim) in 500 µl steps. By default, filter with 0.2 µm pore size were used. If due to filter clogging, the filter-duration of 500 µl water sample exceeds 1h, a new filter (0.45 µm ø) was used for further filtration. The filters were removed from the filter tower with a sterile tweezer and stored in a sterile petridish before further processing. For water samples which contains a lot of micro particles or biofilms, up to four filter were used for one single sample. Those filters were processed and treated equally in the subsequent DNA-isolation.</w:t>
      </w:r>
    </w:p>
    <w:p w14:paraId="70FBA506" w14:textId="77777777" w:rsidR="00C5359A" w:rsidRDefault="00C5359A" w:rsidP="000122E8">
      <w:pPr>
        <w:spacing w:line="360" w:lineRule="auto"/>
        <w:rPr>
          <w:noProof/>
        </w:rPr>
      </w:pPr>
    </w:p>
    <w:p w14:paraId="2091FA7F" w14:textId="1FE04D71" w:rsidR="00D72BD3" w:rsidRDefault="001457B2" w:rsidP="007E0AC7">
      <w:pPr>
        <w:pStyle w:val="Heading3"/>
        <w:rPr>
          <w:noProof/>
        </w:rPr>
      </w:pPr>
      <w:r>
        <w:rPr>
          <w:noProof/>
        </w:rPr>
        <w:t>DNA extraction, PCR amplification, and sequencing of 16S V3-V4</w:t>
      </w:r>
      <w:r w:rsidR="00BE5022">
        <w:rPr>
          <w:noProof/>
        </w:rPr>
        <w:t xml:space="preserve"> and 18S V9 amplicons</w:t>
      </w:r>
    </w:p>
    <w:p w14:paraId="7D9DA223" w14:textId="11B1DFDD" w:rsidR="003C4B97" w:rsidRDefault="00FA6709" w:rsidP="003C218B">
      <w:pPr>
        <w:spacing w:line="360" w:lineRule="auto"/>
        <w:ind w:firstLine="720"/>
        <w:rPr>
          <w:noProof/>
        </w:rPr>
      </w:pPr>
      <w:r>
        <w:rPr>
          <w:noProof/>
        </w:rPr>
        <w:t>We used the PowerWater® DNA Isolation Kit (14900-100-NF; Mo Bio Laboratories, Germany) for the DNA extraction from the filters. All steps were performed</w:t>
      </w:r>
      <w:r w:rsidR="00A753A3">
        <w:rPr>
          <w:noProof/>
        </w:rPr>
        <w:t xml:space="preserve"> according to </w:t>
      </w:r>
      <w:r w:rsidR="00EC55B9">
        <w:rPr>
          <w:noProof/>
        </w:rPr>
        <w:t>standard</w:t>
      </w:r>
      <w:r w:rsidR="00AC23C0">
        <w:rPr>
          <w:noProof/>
        </w:rPr>
        <w:t xml:space="preserve"> centrifuge-based </w:t>
      </w:r>
      <w:r w:rsidR="00A753A3">
        <w:rPr>
          <w:noProof/>
        </w:rPr>
        <w:t>protocol</w:t>
      </w:r>
      <w:r w:rsidR="00EC55B9">
        <w:rPr>
          <w:noProof/>
        </w:rPr>
        <w:t xml:space="preserve"> recommended by the manufacturer</w:t>
      </w:r>
      <w:r w:rsidR="00A753A3">
        <w:rPr>
          <w:noProof/>
        </w:rPr>
        <w:t>.</w:t>
      </w:r>
      <w:r w:rsidR="00AC23C0">
        <w:rPr>
          <w:noProof/>
        </w:rPr>
        <w:t xml:space="preserve"> </w:t>
      </w:r>
      <w:r w:rsidR="00EC55B9">
        <w:rPr>
          <w:noProof/>
        </w:rPr>
        <w:t xml:space="preserve">Briefly, the filters were inserted in a lysis buffer containing bead beating tube where the cells were mechanically and chemically lysed. Afterwards the lysate were transferred to a DNA-retaining spin column. </w:t>
      </w:r>
      <w:r w:rsidR="003813B4">
        <w:rPr>
          <w:noProof/>
        </w:rPr>
        <w:t>Lysate of filters</w:t>
      </w:r>
      <w:r w:rsidR="002F7450">
        <w:rPr>
          <w:noProof/>
        </w:rPr>
        <w:t xml:space="preserve"> belong</w:t>
      </w:r>
      <w:r w:rsidR="003813B4">
        <w:rPr>
          <w:noProof/>
        </w:rPr>
        <w:t>ing</w:t>
      </w:r>
      <w:r w:rsidR="002F7450">
        <w:rPr>
          <w:noProof/>
        </w:rPr>
        <w:t xml:space="preserve"> to the sample were loaded onto the same spin column to pool the DNA. </w:t>
      </w:r>
      <w:r w:rsidR="003813B4">
        <w:rPr>
          <w:noProof/>
        </w:rPr>
        <w:t>After washing with provided buffer</w:t>
      </w:r>
      <w:r w:rsidR="004175E9">
        <w:rPr>
          <w:noProof/>
        </w:rPr>
        <w:t>s</w:t>
      </w:r>
      <w:r w:rsidR="003813B4">
        <w:rPr>
          <w:noProof/>
        </w:rPr>
        <w:t xml:space="preserve"> to purify the bound DNA, </w:t>
      </w:r>
      <w:r w:rsidR="00280941">
        <w:rPr>
          <w:noProof/>
        </w:rPr>
        <w:t xml:space="preserve">it is subsequently eluted </w:t>
      </w:r>
      <w:r w:rsidR="00BE5022">
        <w:rPr>
          <w:noProof/>
        </w:rPr>
        <w:t xml:space="preserve">in DNA elution buffer </w:t>
      </w:r>
      <w:r w:rsidR="00280941">
        <w:rPr>
          <w:noProof/>
        </w:rPr>
        <w:t>and are ready for downstream PCR.</w:t>
      </w:r>
      <w:r w:rsidR="00BE5022">
        <w:rPr>
          <w:noProof/>
        </w:rPr>
        <w:t xml:space="preserve"> </w:t>
      </w:r>
      <w:r w:rsidR="00926534">
        <w:t xml:space="preserve">We used a barcoded amplicon sequencing approach described in Herbold et al </w:t>
      </w:r>
      <w:r w:rsidR="00926534">
        <w:fldChar w:fldCharType="begin" w:fldLock="1"/>
      </w:r>
      <w:r w:rsidR="0004198E">
        <w:instrText>ADDIN CSL_CITATION { "citationItems" : [ { "id" : "ITEM-1", "itemData" : { "DOI" : "10.3389/fmicb.2015.00731", "author" : [ { "dropping-particle" : "", "family" : "Herbold", "given" : "Craig W", "non-dropping-particle" : "", "parse-names" : false, "suffix" : "" }, { "dropping-particle" : "", "family" : "Pelikan", "given" : "Claus", "non-dropping-particle" : "", "parse-names" : false, "suffix" : "" }, { "dropping-particle" : "", "family" : "Kuzyk", "given" : "Orest", "non-dropping-particle" : "", "parse-names" : false, "suffix" : "" }, { "dropping-particle" : "", "family" : "Hausmann", "given" : "Bela", "non-dropping-particle" : "", "parse-names" : false, "suffix" : "" }, { "dropping-particle" : "", "family" : "Angel", "given" : "Roey", "non-dropping-particle" : "", "parse-names" : false, "suffix" : "" }, { "dropping-particle" : "", "family" : "Berry", "given" : "David", "non-dropping-particle" : "", "parse-names" : false, "suffix" : "" }, { "dropping-particle" : "", "family" : "Loy", "given" : "Alexander", "non-dropping-particle" : "", "parse-names" : false, "suffix" : "" } ], "id" : "ITEM-1", "issue" : "July", "issued" : { "date-parts" : [ [ "2015" ] ] }, "page" : "1-8", "title" : "A flexible and economical barcoding approach for highly multiplexed amplicon sequencing of diverse target genes A flexible and economical barcoding approach for highly multiplexed amplicon sequencing of diverse target genes", "type" : "article-journal", "volume" : "6" }, "uris" : [ "http://www.mendeley.com/documents/?uuid=74f599ee-de1f-4a3b-ae4f-03fbce863d09" ] } ], "mendeley" : { "formattedCitation" : "(Craig W Herbold et al., 2015)", "manualFormatting" : "(Herbold et al., 2015)", "plainTextFormattedCitation" : "(Craig W Herbold et al., 2015)", "previouslyFormattedCitation" : "(Craig W Herbold et al., 2015)" }, "properties" : { "noteIndex" : 0 }, "schema" : "https://github.com/citation-style-language/schema/raw/master/csl-citation.json" }</w:instrText>
      </w:r>
      <w:r w:rsidR="00926534">
        <w:fldChar w:fldCharType="separate"/>
      </w:r>
      <w:r w:rsidR="00926534">
        <w:rPr>
          <w:noProof/>
        </w:rPr>
        <w:t>(</w:t>
      </w:r>
      <w:r w:rsidR="00926534" w:rsidRPr="00926534">
        <w:rPr>
          <w:noProof/>
        </w:rPr>
        <w:t>Herbold et al., 2015)</w:t>
      </w:r>
      <w:r w:rsidR="00926534">
        <w:fldChar w:fldCharType="end"/>
      </w:r>
      <w:r w:rsidR="00926534">
        <w:t xml:space="preserve">. </w:t>
      </w:r>
      <w:r w:rsidR="008E27EB">
        <w:t xml:space="preserve">Fragments of prokaryotic and eukaryotic rRNA </w:t>
      </w:r>
      <w:r w:rsidR="0004198E">
        <w:t xml:space="preserve">of each timepoint </w:t>
      </w:r>
      <w:r w:rsidR="008E27EB">
        <w:t>were amplified</w:t>
      </w:r>
      <w:r w:rsidR="0004198E">
        <w:t xml:space="preserve"> for this</w:t>
      </w:r>
      <w:r w:rsidR="008E27EB">
        <w:t xml:space="preserve"> </w:t>
      </w:r>
      <w:r w:rsidR="0004198E">
        <w:t>analysis, resulting in 26 samples for each sampling location</w:t>
      </w:r>
      <w:r w:rsidR="001314A4">
        <w:t>, a total of 54</w:t>
      </w:r>
      <w:r w:rsidR="00BE5022">
        <w:t xml:space="preserve"> samples</w:t>
      </w:r>
      <w:r w:rsidR="001314A4">
        <w:t xml:space="preserve"> including negative controls</w:t>
      </w:r>
      <w:r w:rsidR="0004198E">
        <w:t xml:space="preserve">. </w:t>
      </w:r>
      <w:r w:rsidR="00FF3B15" w:rsidRPr="00CF08CF">
        <w:t xml:space="preserve">V3 and V4 regions of the bacterial 16S rRNA </w:t>
      </w:r>
      <w:r w:rsidR="00FF3B15" w:rsidRPr="00625EEF">
        <w:t>were amplified with barcoded</w:t>
      </w:r>
      <w:r w:rsidR="00FF3B15" w:rsidRPr="006C62EC">
        <w:t xml:space="preserve"> versions of the primers Bakt_341F (</w:t>
      </w:r>
      <w:r w:rsidR="00EC022B">
        <w:t>5’-</w:t>
      </w:r>
      <w:r w:rsidR="00FF3B15" w:rsidRPr="006C62EC">
        <w:t>CCTACGGGNGGCWGCAG</w:t>
      </w:r>
      <w:r w:rsidR="00EC022B">
        <w:t>-3’</w:t>
      </w:r>
      <w:r w:rsidR="00FF3B15" w:rsidRPr="006C62EC">
        <w:t xml:space="preserve">) and Bakt_805R </w:t>
      </w:r>
      <w:r w:rsidR="00FF3B15">
        <w:t>(</w:t>
      </w:r>
      <w:r w:rsidR="00EC022B">
        <w:t>5’-</w:t>
      </w:r>
      <w:r w:rsidR="00FF3B15">
        <w:t>GACT</w:t>
      </w:r>
      <w:r w:rsidR="00FF3B15" w:rsidRPr="006C62EC">
        <w:t>ACHVGGGTATCTAATCC</w:t>
      </w:r>
      <w:r w:rsidR="00EC022B">
        <w:t>-3’</w:t>
      </w:r>
      <w:r w:rsidR="00FF3B15" w:rsidRPr="006C62EC">
        <w:t xml:space="preserve">) </w:t>
      </w:r>
      <w:r w:rsidR="00FF3B15" w:rsidRPr="00D1119A">
        <w:fldChar w:fldCharType="begin" w:fldLock="1"/>
      </w:r>
      <w:r w:rsidR="00FF3B15">
        <w:instrText>ADDIN CSL_CITATION { "citationItems" : [ { "id" : "ITEM-1", "itemData" : { "DOI" : "10.1038/ismej.2011.41", "ISSN" : "1751-7362", "author" : [ { "dropping-particle" : "", "family" : "Herlemann", "given" : "Daniel PR", "non-dropping-particle" : "", "parse-names" : false, "suffix" : "" }, { "dropping-particle" : "", "family" : "Labrenz", "given" : "Matthias", "non-dropping-particle" : "", "parse-names" : false, "suffix" : "" }, { "dropping-particle" : "", "family" : "J\u00fcrgens", "given" : "Klaus", "non-dropping-particle" : "", "parse-names" : false, "suffix" : "" }, { "dropping-particle" : "", "family" : "Bertilsson", "given" : "Stefan", "non-dropping-particle" : "", "parse-names" : false, "suffix" : "" }, { "dropping-particle" : "", "family" : "Waniek", "given" : "Joanna J", "non-dropping-particle" : "", "parse-names" : false, "suffix" : "" }, { "dropping-particle" : "", "family" : "Andersson", "given" : "Anders F", "non-dropping-particle" : "", "parse-names" : false, "suffix" : "" } ], "container-title" : "The ISME Journal", "id" : "ITEM-1", "issue" : "10", "issued" : { "date-parts" : [ [ "2011" ] ] }, "page" : "1571-1579", "title" : "Transitions in bacterial communities along the 2000\u2009km salinity gradient of the Baltic Sea", "type" : "article-journal", "volume" : "5" }, "uris" : [ "http://www.mendeley.com/documents/?uuid=b66b729a-9cdf-4bd8-997e-a8e611707262" ] } ], "mendeley" : { "formattedCitation" : "(Herlemann et al., 2011)", "plainTextFormattedCitation" : "(Herlemann et al., 2011)", "previouslyFormattedCitation" : "(Herlemann et al., 2011)" }, "properties" : { "noteIndex" : 0 }, "schema" : "https://github.com/citation-style-language/schema/raw/master/csl-citation.json" }</w:instrText>
      </w:r>
      <w:r w:rsidR="00FF3B15" w:rsidRPr="00D1119A">
        <w:fldChar w:fldCharType="separate"/>
      </w:r>
      <w:r w:rsidR="00FF3B15" w:rsidRPr="001502D6">
        <w:rPr>
          <w:noProof/>
        </w:rPr>
        <w:t>(Herlemann et al., 2011)</w:t>
      </w:r>
      <w:r w:rsidR="00FF3B15" w:rsidRPr="00D1119A">
        <w:fldChar w:fldCharType="end"/>
      </w:r>
      <w:r w:rsidR="00FF3B15" w:rsidRPr="00CF08CF">
        <w:t xml:space="preserve">. </w:t>
      </w:r>
      <w:r w:rsidR="00BE5022">
        <w:t xml:space="preserve">Further we used </w:t>
      </w:r>
      <w:r w:rsidR="00926534">
        <w:t xml:space="preserve">barcoded </w:t>
      </w:r>
      <w:r w:rsidR="00BE5022">
        <w:t>eukaryotic 18S rRNA primer-pair</w:t>
      </w:r>
      <w:r w:rsidR="008F4D8B">
        <w:t xml:space="preserve"> </w:t>
      </w:r>
      <w:r w:rsidR="00EC022B">
        <w:t>EUK_1391F (5’-</w:t>
      </w:r>
      <w:r w:rsidR="00EC022B" w:rsidRPr="008E27EB">
        <w:rPr>
          <w:rFonts w:cs="Arial"/>
        </w:rPr>
        <w:t>GTACACACCGCCCGTC</w:t>
      </w:r>
      <w:r w:rsidR="00EC022B">
        <w:rPr>
          <w:rFonts w:cs="Arial"/>
        </w:rPr>
        <w:t xml:space="preserve">-3’) and EUK_1510R </w:t>
      </w:r>
      <w:r w:rsidR="00EC022B" w:rsidRPr="00F56DA3">
        <w:rPr>
          <w:rFonts w:cs="Arial"/>
        </w:rPr>
        <w:t>(</w:t>
      </w:r>
      <w:r w:rsidR="00EC022B">
        <w:rPr>
          <w:rFonts w:cs="Arial"/>
        </w:rPr>
        <w:t>5’-</w:t>
      </w:r>
      <w:r w:rsidR="00EC022B" w:rsidRPr="00F56DA3">
        <w:rPr>
          <w:rFonts w:cs="Arial"/>
        </w:rPr>
        <w:t>CCTTCYGCAGGTTCACCTAC</w:t>
      </w:r>
      <w:r w:rsidR="00EC022B">
        <w:rPr>
          <w:rFonts w:cs="Arial"/>
        </w:rPr>
        <w:t>-3’</w:t>
      </w:r>
      <w:r w:rsidR="00EC022B" w:rsidRPr="00F56DA3">
        <w:rPr>
          <w:rFonts w:cs="Arial"/>
        </w:rPr>
        <w:t>)</w:t>
      </w:r>
      <w:r w:rsidR="00BE5022">
        <w:rPr>
          <w:rFonts w:cs="Arial"/>
        </w:rPr>
        <w:t xml:space="preserve"> </w:t>
      </w:r>
      <w:r w:rsidR="008F4D8B">
        <w:t>b</w:t>
      </w:r>
      <w:r w:rsidR="008E27EB">
        <w:t xml:space="preserve">ased on </w:t>
      </w:r>
      <w:r w:rsidR="008F4D8B">
        <w:t xml:space="preserve">those of </w:t>
      </w:r>
      <w:r w:rsidR="0004198E">
        <w:t>Amaral-Zettler et al</w:t>
      </w:r>
      <w:r w:rsidR="00EC022B">
        <w:t>.</w:t>
      </w:r>
      <w:r w:rsidR="0004198E">
        <w:t xml:space="preserve"> </w:t>
      </w:r>
      <w:r w:rsidR="0004198E">
        <w:fldChar w:fldCharType="begin" w:fldLock="1"/>
      </w:r>
      <w:r w:rsidR="0004198E">
        <w:instrText>ADDIN CSL_CITATION { "citationItems" : [ { "id" : "ITEM-1", "itemData" : { "DOI" : "10.1371/journal.pone.0006372", "ISSN" : "1932-6203", "PMID" : "19633714", "abstract" : "BACKGROUND: Massively parallel pyrosequencing of amplicons from the V6 hypervariable regions of small-subunit (SSU) ribosomal RNA (rRNA) genes is commonly used to assess diversity and richness in bacterial and archaeal populations. Recent advances in pyrosequencing technology provide read lengths of up to 240 nucleotides. Amplicon pyrosequencing can now be applied to longer variable regions of the SSU rRNA gene including the V9 region in eukaryotes.\n\nMETHODOLOGY/PRINCIPAL FINDINGS: We present a protocol for the amplicon pyrosequencing of V9 regions for eukaryotic environmental samples for biodiversity inventories and species richness estimation. The International Census of Marine Microbes (ICoMM) and the Microbial Inventory Research Across Diverse Aquatic Long Term Ecological Research Sites (MIRADA-LTERs) projects are already employing this protocol for tag sequencing of eukaryotic samples in a wide diversity of both marine and freshwater environments.\n\nCONCLUSIONS/SIGNIFICANCE: Massively parallel pyrosequencing of eukaryotic V9 hypervariable regions of SSU rRNA genes provides a means of estimating species richness from deeply-sampled populations and for discovering novel species from the environment.", "author" : [ { "dropping-particle" : "", "family" : "Amaral-Zettler", "given" : "Linda a", "non-dropping-particle" : "", "parse-names" : false, "suffix" : "" }, { "dropping-particle" : "", "family" : "McCliment", "given" : "Elizabeth a", "non-dropping-particle" : "", "parse-names" : false, "suffix" : "" }, { "dropping-particle" : "", "family" : "Ducklow", "given" : "Hugh W", "non-dropping-particle" : "", "parse-names" : false, "suffix" : "" }, { "dropping-particle" : "", "family" : "Huse", "given" : "Susan M", "non-dropping-particle" : "", "parse-names" : false, "suffix" : "" } ], "container-title" : "PloS one", "id" : "ITEM-1", "issue" : "7", "issued" : { "date-parts" : [ [ "2009", "1" ] ] }, "page" : "e6372", "title" : "A method for studying protistan diversity using massively parallel sequencing of V9 hypervariable regions of small-subunit ribosomal RNA genes.", "type" : "article-journal", "volume" : "4" }, "uris" : [ "http://www.mendeley.com/documents/?uuid=daddbf6e-b939-4f10-aac3-c072461f619e" ] } ], "mendeley" : { "formattedCitation" : "(Amaral-Zettler et al., 2009)", "plainTextFormattedCitation" : "(Amaral-Zettler et al., 2009)", "previouslyFormattedCitation" : "(Amaral-Zettler et al., 2009)" }, "properties" : { "noteIndex" : 0 }, "schema" : "https://github.com/citation-style-language/schema/raw/master/csl-citation.json" }</w:instrText>
      </w:r>
      <w:r w:rsidR="0004198E">
        <w:fldChar w:fldCharType="separate"/>
      </w:r>
      <w:r w:rsidR="0004198E" w:rsidRPr="00273436">
        <w:rPr>
          <w:noProof/>
        </w:rPr>
        <w:t>(Amaral-Zettler et al., 2009)</w:t>
      </w:r>
      <w:r w:rsidR="0004198E">
        <w:fldChar w:fldCharType="end"/>
      </w:r>
      <w:r w:rsidR="00EC022B">
        <w:t xml:space="preserve"> and the Earth Microbiome Project</w:t>
      </w:r>
      <w:r w:rsidR="0004198E">
        <w:t xml:space="preserve"> (Version 5 2012 </w:t>
      </w:r>
      <w:r w:rsidR="0004198E">
        <w:fldChar w:fldCharType="begin" w:fldLock="1"/>
      </w:r>
      <w:r w:rsidR="003C218B">
        <w:instrText>ADDIN CSL_CITATION { "citationItems" : [ { "id" : "ITEM-1", "itemData" : { "DOI" : "10.1186/s12915-014-0069-1", "ISBN" : "1741-7007 (Electronic)\\r1741-7007 (Linking)", "ISSN" : "1741-7007", "PMID" : "25184604", "abstract" : "No abstract", "author" : [ { "dropping-particle" : "", "family" : "Gilbert", "given" : "Jack A", "non-dropping-particle" : "", "parse-names" : false, "suffix" : "" }, { "dropping-particle" : "", "family" : "Jansson", "given" : "Janet K", "non-dropping-particle" : "", "parse-names" : false, "suffix" : "" }, { "dropping-particle" : "", "family" : "Knight", "given" : "Rob", "non-dropping-particle" : "", "parse-names" : false, "suffix" : "" } ], "container-title" : "BMC Biology", "id" : "ITEM-1", "issue" : "1", "issued" : { "date-parts" : [ [ "2014" ] ] }, "page" : "69", "title" : "The Earth Microbiome project: successes and aspirations", "type" : "article-journal", "volume" : "12" }, "uris" : [ "http://www.mendeley.com/documents/?uuid=7cdb56f8-d697-44f5-b997-64f5c55cb6a1" ] } ], "mendeley" : { "formattedCitation" : "(Gilbert et al., 2014)", "manualFormatting" : "Gilbert et al., 2014)", "plainTextFormattedCitation" : "(Gilbert et al., 2014)", "previouslyFormattedCitation" : "(Gilbert et al., 2014)" }, "properties" : { "noteIndex" : 0 }, "schema" : "https://github.com/citation-style-language/schema/raw/master/csl-citation.json" }</w:instrText>
      </w:r>
      <w:r w:rsidR="0004198E">
        <w:fldChar w:fldCharType="separate"/>
      </w:r>
      <w:r w:rsidR="0004198E" w:rsidRPr="0004198E">
        <w:rPr>
          <w:noProof/>
        </w:rPr>
        <w:t>Gilbert et al., 2014)</w:t>
      </w:r>
      <w:r w:rsidR="0004198E">
        <w:fldChar w:fldCharType="end"/>
      </w:r>
      <w:r w:rsidR="00BE5022">
        <w:t xml:space="preserve"> to amplify the 18S-V9 region</w:t>
      </w:r>
      <w:r w:rsidR="00273436">
        <w:t>.</w:t>
      </w:r>
      <w:r w:rsidR="0089016A">
        <w:t xml:space="preserve"> </w:t>
      </w:r>
      <w:r w:rsidR="00FF3B15" w:rsidRPr="00CF08CF">
        <w:t>Each PCR reaction include</w:t>
      </w:r>
      <w:r w:rsidR="00FF3B15" w:rsidRPr="00625EEF">
        <w:t>d 1</w:t>
      </w:r>
      <w:r w:rsidR="002B673B">
        <w:t>x DreamTaq</w:t>
      </w:r>
      <w:r w:rsidR="00FF3B15" w:rsidRPr="00DE01D6">
        <w:t xml:space="preserve"> Green Buffer (Fermentas</w:t>
      </w:r>
      <w:r w:rsidR="00FF3B15">
        <w:t>, Thermo Fisher Scientific, Vienna, Austria</w:t>
      </w:r>
      <w:r w:rsidR="00FF3B15" w:rsidRPr="00DE01D6">
        <w:t>), 2</w:t>
      </w:r>
      <w:r w:rsidR="00FF3B15" w:rsidRPr="006C62EC">
        <w:t xml:space="preserve"> mM MgCl</w:t>
      </w:r>
      <w:r w:rsidR="00FF3B15" w:rsidRPr="00E55487">
        <w:rPr>
          <w:vertAlign w:val="subscript"/>
        </w:rPr>
        <w:t>2</w:t>
      </w:r>
      <w:r w:rsidR="00FF3B15" w:rsidRPr="00CF08CF">
        <w:t>, 0.2</w:t>
      </w:r>
      <w:r w:rsidR="00FF3B15" w:rsidRPr="00625EEF">
        <w:t xml:space="preserve"> mM dNTP </w:t>
      </w:r>
      <w:r w:rsidR="00FF3B15" w:rsidRPr="00DE01D6">
        <w:t>mix (Fermentas), 0.1 mg mL</w:t>
      </w:r>
      <w:r w:rsidR="00FF3B15" w:rsidRPr="00E55487">
        <w:rPr>
          <w:vertAlign w:val="superscript"/>
        </w:rPr>
        <w:t>-1</w:t>
      </w:r>
      <w:r w:rsidR="00FF3B15" w:rsidRPr="00CF08CF">
        <w:t xml:space="preserve"> bovine serum albumin, 1 µM of each of the forward and reverse primers, 0.02</w:t>
      </w:r>
      <w:r w:rsidR="00941234">
        <w:t>5 U DreamTaq</w:t>
      </w:r>
      <w:r w:rsidR="00FF3B15" w:rsidRPr="00CF08CF">
        <w:t xml:space="preserve"> polymerase (Fermentas) and 1 µL of template</w:t>
      </w:r>
      <w:r w:rsidR="004543DD">
        <w:t>.</w:t>
      </w:r>
      <w:r w:rsidR="0089016A">
        <w:t xml:space="preserve"> </w:t>
      </w:r>
      <w:r w:rsidR="00FF3B15" w:rsidRPr="00CF08CF">
        <w:t xml:space="preserve">The </w:t>
      </w:r>
      <w:r w:rsidR="004543DD">
        <w:t xml:space="preserve">products of the first </w:t>
      </w:r>
      <w:r w:rsidR="00FF3B15" w:rsidRPr="00CF08CF">
        <w:t xml:space="preserve">PCR </w:t>
      </w:r>
      <w:r w:rsidR="004543DD">
        <w:t xml:space="preserve">amplification </w:t>
      </w:r>
      <w:r w:rsidR="004543DD">
        <w:t>(94°C for 3 min; 25 cycles of 45 sec at 94°C, 30 sec at 52°C for 16S  and 57°C for 18S, 90 sec at 72°C; and 72°C for 10 min)</w:t>
      </w:r>
      <w:r w:rsidR="004543DD">
        <w:t xml:space="preserve"> was done in triplicates and pooled together as the template for the second barcoding PCR (95</w:t>
      </w:r>
      <w:r w:rsidR="004175E9">
        <w:t xml:space="preserve">°C for 3 min; </w:t>
      </w:r>
      <w:r w:rsidR="004543DD">
        <w:t>10</w:t>
      </w:r>
      <w:r w:rsidR="004175E9">
        <w:t xml:space="preserve"> cycles of </w:t>
      </w:r>
      <w:r w:rsidR="004543DD">
        <w:t>30 sec at 95°C, 30 sec at 55°C, 60 sec at 72°C; and 72°C for 7 min)</w:t>
      </w:r>
      <w:r w:rsidR="00FF3B15" w:rsidRPr="00CF08CF">
        <w:t>.</w:t>
      </w:r>
      <w:r w:rsidR="00FF3B15">
        <w:t xml:space="preserve"> </w:t>
      </w:r>
      <w:r w:rsidR="00DB2DA9">
        <w:t>The purification, quantification, and sequencing was done as described in Herbold et al.</w:t>
      </w:r>
    </w:p>
    <w:p w14:paraId="23620656" w14:textId="6E27371C" w:rsidR="003C4B97" w:rsidRPr="003C4B97" w:rsidRDefault="00F939B1" w:rsidP="007E0AC7">
      <w:pPr>
        <w:pStyle w:val="Heading3"/>
        <w:rPr>
          <w:noProof/>
        </w:rPr>
      </w:pPr>
      <w:r>
        <w:rPr>
          <w:noProof/>
        </w:rPr>
        <w:t>Data compilation, filtering, and clustering</w:t>
      </w:r>
    </w:p>
    <w:p w14:paraId="37F9573F" w14:textId="4A366124" w:rsidR="003C218B" w:rsidRPr="00E615E8" w:rsidRDefault="00F23889" w:rsidP="00D051CA">
      <w:pPr>
        <w:spacing w:line="360" w:lineRule="auto"/>
      </w:pPr>
      <w:r>
        <w:tab/>
      </w:r>
      <w:r w:rsidR="0004198E">
        <w:t>Based on the primer and barcode of the read</w:t>
      </w:r>
      <w:r w:rsidR="000261AE">
        <w:t xml:space="preserve">, the sequencing data was divided into </w:t>
      </w:r>
      <w:r w:rsidR="0004198E">
        <w:t>two primer-datasets for</w:t>
      </w:r>
      <w:r w:rsidR="000261AE">
        <w:t xml:space="preserve"> each sample</w:t>
      </w:r>
      <w:r w:rsidR="0004198E">
        <w:t>, resulting in a total of 72 different datasets</w:t>
      </w:r>
      <w:r w:rsidR="000261AE">
        <w:t xml:space="preserve">. </w:t>
      </w:r>
      <w:r w:rsidR="00DB2DA9">
        <w:t xml:space="preserve">After sequencing, reads </w:t>
      </w:r>
      <w:r w:rsidR="0004198E">
        <w:t>assigned to</w:t>
      </w:r>
      <w:r w:rsidR="000261AE">
        <w:t xml:space="preserve"> </w:t>
      </w:r>
      <w:r w:rsidR="0004198E">
        <w:t>18S-</w:t>
      </w:r>
      <w:r w:rsidR="000261AE">
        <w:t xml:space="preserve">dataset </w:t>
      </w:r>
      <w:r w:rsidR="00942386">
        <w:t>were trimmed by 88 nucleotides</w:t>
      </w:r>
      <w:r w:rsidR="00DB2DA9">
        <w:t xml:space="preserve"> prior to formation of operational taxonomic units (OTUs) because the expected amplicon length of 178 bp is shorter than the read length</w:t>
      </w:r>
      <w:r w:rsidR="002A2871">
        <w:t xml:space="preserve"> of 300 bp</w:t>
      </w:r>
      <w:r w:rsidR="00DB2DA9">
        <w:t>.</w:t>
      </w:r>
      <w:r w:rsidR="00942386">
        <w:t xml:space="preserve"> </w:t>
      </w:r>
      <w:r w:rsidR="000261AE">
        <w:t xml:space="preserve">We </w:t>
      </w:r>
      <w:r w:rsidR="002A2871">
        <w:t xml:space="preserve">also </w:t>
      </w:r>
      <w:r w:rsidR="000261AE">
        <w:t>did an additional</w:t>
      </w:r>
      <w:r w:rsidR="002A2871">
        <w:t xml:space="preserve"> Q-</w:t>
      </w:r>
      <w:r w:rsidR="00942386">
        <w:t>score</w:t>
      </w:r>
      <w:r w:rsidR="000261AE">
        <w:t xml:space="preserve"> end-trimming</w:t>
      </w:r>
      <w:r w:rsidR="006737E1">
        <w:t xml:space="preserve"> </w:t>
      </w:r>
      <w:r w:rsidR="000261AE">
        <w:t xml:space="preserve">of the reads, where </w:t>
      </w:r>
      <w:r w:rsidR="00C60333">
        <w:t>the read was trimmed</w:t>
      </w:r>
      <w:r w:rsidR="00D440A6">
        <w:t xml:space="preserve"> to the first </w:t>
      </w:r>
      <w:r w:rsidR="00C60333">
        <w:t>instance</w:t>
      </w:r>
      <w:r w:rsidR="000261AE">
        <w:t xml:space="preserve"> </w:t>
      </w:r>
      <w:r w:rsidR="00C60333">
        <w:t xml:space="preserve">of a </w:t>
      </w:r>
      <w:r w:rsidR="000261AE">
        <w:t xml:space="preserve">Q-score </w:t>
      </w:r>
      <w:r w:rsidR="00C60333">
        <w:t>of 37. This approach was chosen</w:t>
      </w:r>
      <w:r w:rsidR="002A2871">
        <w:t xml:space="preserve"> to maximize the number of contigs produced for </w:t>
      </w:r>
      <w:r w:rsidR="002B673B">
        <w:t>each</w:t>
      </w:r>
      <w:r w:rsidR="002A2871">
        <w:t xml:space="preserve"> dataset</w:t>
      </w:r>
      <w:r w:rsidR="006737E1">
        <w:t>.</w:t>
      </w:r>
      <w:r w:rsidR="00C60333">
        <w:t xml:space="preserve"> 16S datasets did not undergo initial nucleotide trimming, since the expected amplicon length exceeds the read length, and were directly end-trimmed based on the determined Q-score.</w:t>
      </w:r>
      <w:r w:rsidR="000261AE">
        <w:t xml:space="preserve"> </w:t>
      </w:r>
      <w:r w:rsidR="00C60333">
        <w:t>The Q-score determination and further c</w:t>
      </w:r>
      <w:r w:rsidR="00FF3B15">
        <w:t xml:space="preserve">lustering into </w:t>
      </w:r>
      <w:r w:rsidR="00DB2DA9">
        <w:t>OTUs</w:t>
      </w:r>
      <w:r w:rsidR="00FF3B15">
        <w:t xml:space="preserve"> was performed as described previously</w:t>
      </w:r>
      <w:r w:rsidR="00FF3B15" w:rsidRPr="00D1119A">
        <w:t xml:space="preserve"> </w:t>
      </w:r>
      <w:r w:rsidR="00FF3B15" w:rsidRPr="00D1119A">
        <w:fldChar w:fldCharType="begin" w:fldLock="1"/>
      </w:r>
      <w:r w:rsidR="0004198E">
        <w:instrText>ADDIN CSL_CITATION { "citationItems" : [ { "id" : "ITEM-1", "itemData" : { "ISSN" : "1664-302X", "abstract" : "High throughput sequencing of phylogenetic and functional gene amplicons provides tremendous insight into the structure and functional potential of complex microbial communities. Here, we introduce a highly adaptable and economical PCR approach to barcoding and pooling libraries of numerous target genes. In this approach, we replace gene- and sequencing platform-specific fusion primers with general, interchangeable barcoding primers, enabling nearly limitless customized barcode-primer combinations. Compared to barcoding with long fusion primers, our multiple-target gene approach is more economical because it overall requires lower number of primers and is based on short primers with generally lower synthesis and purification costs. To highlight our approach, we pooled over 900 different small-subunit rRNA and functional gene amplicon libraries obtained from various environmental or host-associated microbial community samples into a single, paired-end Illumina MiSeq run. Although the amplicon regions ranged in size from approximately 290 to 720 bp, we found no significant systematic sequencing bias related to amplicon length or gene target. Our results indicate that this flexible multiplexing approach produces large, diverse and high quality sets of amplicon sequence data for modern studies in microbial ecology.", "author" : [ { "dropping-particle" : "", "family" : "Herbold", "given" : "Craig W.", "non-dropping-particle" : "", "parse-names" : false, "suffix" : "" }, { "dropping-particle" : "", "family" : "Pelikan", "given" : "Claus", "non-dropping-particle" : "", "parse-names" : false, "suffix" : "" }, { "dropping-particle" : "", "family" : "Kuzyk", "given" : "Orest", "non-dropping-particle" : "", "parse-names" : false, "suffix" : "" }, { "dropping-particle" : "", "family" : "Hausmann", "given" : "Bela", "non-dropping-particle" : "", "parse-names" : false, "suffix" : "" }, { "dropping-particle" : "", "family" : "Angel", "given" : "Roey", "non-dropping-particle" : "", "parse-names" : false, "suffix" : "" }, { "dropping-particle" : "", "family" : "Berry", "given" : "David", "non-dropping-particle" : "", "parse-names" : false, "suffix" : "" }, { "dropping-particle" : "", "family" : "Loy", "given" : "Alexander", "non-dropping-particle" : "", "parse-names" : false, "suffix" : "" } ], "container-title" : "Frontiers in Microbiology", "id" : "ITEM-1", "issue" : "July", "issued" : { "date-parts" : [ [ "2015", "7" ] ] }, "page" : "1-8", "title" : "A flexible and economical barcoding approach for highly multiplexed amplicon sequencing of diverse target genes", "type" : "article-journal", "volume" : "6" }, "uris" : [ "http://www.mendeley.com/documents/?uuid=e47e6ee7-09df-4022-a3b8-e1f0c1e46bda", "http://www.mendeley.com/documents/?uuid=f9cb9a8d-c9aa-4923-b867-f01889ca3fc2" ] } ], "mendeley" : { "formattedCitation" : "(Craig W. Herbold et al., 2015)", "plainTextFormattedCitation" : "(Craig W. Herbold et al., 2015)", "previouslyFormattedCitation" : "(Craig W. Herbold et al., 2015)" }, "properties" : { "noteIndex" : 0 }, "schema" : "https://github.com/citation-style-language/schema/raw/master/csl-citation.json" }</w:instrText>
      </w:r>
      <w:r w:rsidR="00FF3B15" w:rsidRPr="00D1119A">
        <w:fldChar w:fldCharType="separate"/>
      </w:r>
      <w:r w:rsidR="00926534" w:rsidRPr="00926534">
        <w:rPr>
          <w:noProof/>
        </w:rPr>
        <w:t>(Craig W. Herbold et al., 2015)</w:t>
      </w:r>
      <w:r w:rsidR="00FF3B15" w:rsidRPr="00D1119A">
        <w:fldChar w:fldCharType="end"/>
      </w:r>
      <w:r w:rsidR="00FF3B15" w:rsidRPr="00CF08CF">
        <w:t xml:space="preserve">. </w:t>
      </w:r>
      <w:r w:rsidR="003C218B">
        <w:t>The OTU t</w:t>
      </w:r>
      <w:r w:rsidR="00FF3B15" w:rsidRPr="00CF08CF">
        <w:t xml:space="preserve">axonomic classification </w:t>
      </w:r>
      <w:r w:rsidR="003C218B">
        <w:t>with a</w:t>
      </w:r>
      <w:r w:rsidR="003C218B">
        <w:t xml:space="preserve">n identity threshold of 97% </w:t>
      </w:r>
      <w:r w:rsidR="00FF3B15">
        <w:t xml:space="preserve">was carried out using the </w:t>
      </w:r>
      <w:r w:rsidR="00FF3B15" w:rsidRPr="00CF08CF">
        <w:t xml:space="preserve">mothur classify.seqs function </w:t>
      </w:r>
      <w:r w:rsidR="00FF3B15" w:rsidRPr="00D1119A">
        <w:fldChar w:fldCharType="begin" w:fldLock="1"/>
      </w:r>
      <w:r w:rsidR="00FF3B15">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"http://www.mendeley.com/documents/?uuid=8ef6722e-e096-44f8-b10b-20446ce0e664" ] } ], "mendeley" : { "formattedCitation" : "(Schloss et al., 2009)", "plainTextFormattedCitation" : "(Schloss et al., 2009)", "previouslyFormattedCitation" : "(Schloss et al., 2009)" }, "properties" : { "noteIndex" : 0 }, "schema" : "https://github.com/citation-style-language/schema/raw/master/csl-citation.json" }</w:instrText>
      </w:r>
      <w:r w:rsidR="00FF3B15" w:rsidRPr="00D1119A">
        <w:fldChar w:fldCharType="separate"/>
      </w:r>
      <w:r w:rsidR="00FF3B15" w:rsidRPr="001502D6">
        <w:rPr>
          <w:noProof/>
        </w:rPr>
        <w:t>(Schloss et al., 2009)</w:t>
      </w:r>
      <w:r w:rsidR="00FF3B15" w:rsidRPr="00D1119A">
        <w:fldChar w:fldCharType="end"/>
      </w:r>
      <w:r w:rsidR="00FF3B15" w:rsidRPr="00CF08CF">
        <w:t xml:space="preserve"> </w:t>
      </w:r>
      <w:r w:rsidR="00FF3B15" w:rsidRPr="00625EEF">
        <w:t xml:space="preserve">and the Silva 1.19 SSU database as reference </w:t>
      </w:r>
      <w:r w:rsidR="00FF3B15" w:rsidRPr="00D1119A">
        <w:fldChar w:fldCharType="begin" w:fldLock="1"/>
      </w:r>
      <w:r w:rsidR="00FF3B15">
        <w:instrText>ADDIN CSL_CITATION { "citationItems" : [ { "id" : "ITEM-1", "itemData" : { "DOI" : "10.1093/nar/gks1219", "ISBN" : "0305-1048", "ISSN" : "03051048", "PMID" : "23193283", "abstract" : "SILVA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3 194 778 small subunit and 288 717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"author" : [ { "dropping-particle" : "", "family" : "Quast", "given" : "Christian", "non-dropping-particle" : "", "parse-names" : false, "suffix" : "" }, { "dropping-particle" : "", "family" : "Pruesse", "given" : "Elmar", "non-dropping-particle" : "", "parse-names" : false, "suffix" : "" }, { "dropping-particle" : "", "family" : "Yilmaz", "given" : "Pelin", "non-dropping-particle" : "", "parse-names" : false, "suffix" : "" }, { "dropping-particle" : "", "family" : "Gerken", "given" : "Jan", "non-dropping-particle" : "", "parse-names" : false, "suffix" : "" }, { "dropping-particle" : "", "family" : "Schweer", "given" : "Timmy", "non-dropping-particle" : "", "parse-names" : false, "suffix" : "" }, { "dropping-particle" : "", "family" : "Yarza", "given" : "Pablo", "non-dropping-particle" : "", "parse-names" : false, "suffix" : "" }, { "dropping-particle" : "", "family" : "Peplies", "given" : "J\u00f6rg", "non-dropping-particle" : "", "parse-names" : false, "suffix" : "" }, { "dropping-particle" : "", "family" : "Gl\u00f6ckner", "given" : "Frank Oliver", "non-dropping-particle" : "", "parse-names" : false, "suffix" : "" } ], "container-title" : "Nucleic Acids Research", "id" : "ITEM-1", "issue" : "November 2012", "issued" : { "date-parts" : [ [ "2013" ] ] }, "page" : "590-596", "title" : "The SILVA ribosomal RNA gene database project: Improved data processing and web-based tools", "type" : "article-journal", "volume" : "41" }, "uris" : [ "http://www.mendeley.com/documents/?uuid=dc1d69b8-b48b-476a-b957-5a9a0d2b75fe" ] } ], "mendeley" : { "formattedCitation" : "(Quast et al., 2013)", "plainTextFormattedCitation" : "(Quast et al., 2013)", "previouslyFormattedCitation" : "(Quast et al., 2013)" }, "properties" : { "noteIndex" : 0 }, "schema" : "https://github.com/citation-style-language/schema/raw/master/csl-citation.json" }</w:instrText>
      </w:r>
      <w:r w:rsidR="00FF3B15" w:rsidRPr="00D1119A">
        <w:fldChar w:fldCharType="separate"/>
      </w:r>
      <w:r w:rsidR="00FF3B15" w:rsidRPr="001502D6">
        <w:rPr>
          <w:noProof/>
        </w:rPr>
        <w:t>(Quast et al., 2013)</w:t>
      </w:r>
      <w:r w:rsidR="00FF3B15" w:rsidRPr="00D1119A">
        <w:fldChar w:fldCharType="end"/>
      </w:r>
      <w:r w:rsidR="000D3B1B">
        <w:t xml:space="preserve"> for both</w:t>
      </w:r>
      <w:r w:rsidR="00246434">
        <w:t xml:space="preserve"> 16S </w:t>
      </w:r>
      <w:r w:rsidR="000D3B1B">
        <w:t xml:space="preserve">and 18S OTUs. Further </w:t>
      </w:r>
      <w:r w:rsidR="00366C3C">
        <w:t xml:space="preserve">the </w:t>
      </w:r>
      <w:r w:rsidR="000D3B1B">
        <w:t xml:space="preserve">protist ribosomal database </w:t>
      </w:r>
      <w:r w:rsidR="000D3B1B">
        <w:fldChar w:fldCharType="begin" w:fldLock="1"/>
      </w:r>
      <w:r w:rsidR="00A87CAD">
        <w:instrText>ADDIN CSL_CITATION { "citationItems" : [ { "id" : "ITEM-1", "itemData" : { "DOI" : "10.1093/nar/gks1160", "ISBN" : "1362-4962 (Electronic)\\n0305-1048 (Linking)", "ISSN" : "1362-4962", "PMID" : "23193267", "abstract" : "The interrogation of genetic markers in environmental meta-barcoding studies is currently seriously hindered by the lack of taxonomically curated reference data sets for the targeted genes. The Protist Ribosomal Reference database (PR(2), http://ssu-rrna.org/) provides a unique access to eukaryotic small sub-unit (SSU) ribosomal RNA and DNA sequences, with curated taxonomy. The database mainly consists of nuclear-encoded protistan sequences. However, metazoans, land plants, macrosporic fungi and eukaryotic organelles (mitochondrion, plastid and others) are also included because they are useful for the analysis of high-troughput sequencing data sets. Introns and putative chimeric sequences have been also carefully checked. Taxonomic assignation of sequences consists of eight unique taxonomic fields. In total, 136 866 sequences are nuclear encoded, 45 708 (36 501 mitochondrial and 9657 chloroplastic) are from organelles, the remaining being putative chimeric sequences. The website allows the users to download sequences from the entire and partial databases (including representative sequences after clustering at a given level of similarity). Different web tools also allow searches by sequence similarity. The presence of both rRNA and rDNA sequences, taking into account introns (crucial for eukaryotic sequences), a normalized eight terms ranked-taxonomy and updates of new GenBank releases were made possible by a long-term collaboration between experts in taxonomy and computer scientists.", "author" : [ { "dropping-particle" : "", "family" : "Guillou", "given" : "Laure", "non-dropping-particle" : "", "parse-names" : false, "suffix" : "" }, { "dropping-particle" : "", "family" : "Bachar", "given" : "Dipankar", "non-dropping-particle" : "", "parse-names" : false, "suffix" : "" }, { "dropping-particle" : "", "family" : "Audic", "given" : "St\u00e9phane", "non-dropping-particle" : "", "parse-names" : false, "suffix" : "" }, { "dropping-particle" : "", "family" : "Bass", "given" : "David", "non-dropping-particle" : "", "parse-names" : false, "suffix" : "" }, { "dropping-particle" : "", "family" : "Berney", "given" : "C\u00e9dric", "non-dropping-particle" : "", "parse-names" : false, "suffix" : "" }, { "dropping-particle" : "", "family" : "Bittner", "given" : "Lucie", "non-dropping-particle" : "", "parse-names" : false, "suffix" : "" }, { "dropping-particle" : "", "family" : "Boutte", "given" : "Christophe", "non-dropping-particle" : "", "parse-names" : false, "suffix" : "" }, { "dropping-particle" : "", "family" : "Burgaud", "given" : "Ga\u00e9tan", "non-dropping-particle" : "", "parse-names" : false, "suffix" : "" }, { "dropping-particle" : "", "family" : "Vargas", "given" : "Colomban", "non-dropping-particle" : "de", "parse-names" : false, "suffix" : "" }, { "dropping-particle" : "", "family" : "Decelle", "given" : "Johan", "non-dropping-particle" : "", "parse-names" : false, "suffix" : "" }, { "dropping-particle" : "", "family" : "Campo", "given" : "Javier", "non-dropping-particle" : "Del", "parse-names" : false, "suffix" : "" }, { "dropping-particle" : "", "family" : "Dolan", "given" : "John R.", "non-dropping-particle" : "", "parse-names" : false, "suffix" : "" }, { "dropping-particle" : "", "family" : "Dunthorn", "given" : "Micah", "non-dropping-particle" : "", "parse-names" : false, "suffix" : "" }, { "dropping-particle" : "", "family" : "Edvardsen", "given" : "Bente", "non-dropping-particle" : "", "parse-names" : false, "suffix" : "" }, { "dropping-particle" : "", "family" : "Holzmann", "given" : "Maria", "non-dropping-particle" : "", "parse-names" : false, "suffix" : "" }, { "dropping-particle" : "", "family" : "Kooistra", "given" : "Wiebe H C F", "non-dropping-particle" : "", "parse-names" : false, "suffix" : "" }, { "dropping-particle" : "", "family" : "Lara", "given" : "Enrique", "non-dropping-particle" : "", "parse-names" : false, "suffix" : "" }, { "dropping-particle" : "", "family" : "Bescot", "given" : "Noan", "non-dropping-particle" : "Le", "parse-names" : false, "suffix" : "" }, { "dropping-particle" : "", "family" : "Logares", "given" : "Ramiro", "non-dropping-particle" : "", "parse-names" : false, "suffix" : "" }, { "dropping-particle" : "", "family" : "Mah\u00e9", "given" : "Fr\u00e9d\u00e9ric", "non-dropping-particle" : "", "parse-names" : false, "suffix" : "" }, { "dropping-particle" : "", "family" : "Massana", "given" : "Ramon", "non-dropping-particle" : "", "parse-names" : false, "suffix" : "" }, { "dropping-particle" : "", "family" : "Montresor", "given" : "Marina", "non-dropping-particle" : "", "parse-names" : false, "suffix" : "" }, { "dropping-particle" : "", "family" : "Morard", "given" : "Raphael", "non-dropping-particle" : "", "parse-names" : false, "suffix" : "" }, { "dropping-particle" : "", "family" : "Not", "given" : "Fabrice", "non-dropping-particle" : "", "parse-names" : false, "suffix" : "" }, { "dropping-particle" : "", "family" : "Pawlowski", "given" : "Jan", "non-dropping-particle" : "", "parse-names" : false, "suffix" : "" }, { "dropping-particle" : "", "family" : "Probert", "given" : "Ian", "non-dropping-particle" : "", "parse-names" : false, "suffix" : "" }, { "dropping-particle" : "", "family" : "Sauvadet", "given" : "Anne-Laure Laure", "non-dropping-particle" : "", "parse-names" : false, "suffix" : "" }, { "dropping-particle" : "", "family" : "Siano", "given" : "Raffaele", "non-dropping-particle" : "", "parse-names" : false, "suffix" : "" }, { "dropping-particle" : "", "family" : "Stoeck", "given" : "Thorsten", "non-dropping-particle" : "", "parse-names" : false, "suffix" : "" }, { "dropping-particle" : "", "family" : "Vaulot", "given" : "Daniel", "non-dropping-particle" : "", "parse-names" : false, "suffix" : "" }, { "dropping-particle" : "", "family" : "Zimmermann", "given" : "Pascal", "non-dropping-particle" : "", "parse-names" : false, "suffix" : "" }, { "dropping-particle" : "", "family" : "Christen", "given" : "Richard", "non-dropping-particle" : "", "parse-names" : false, "suffix" : "" } ], "container-title" : "Nucleic acids research", "id" : "ITEM-1", "issue" : "Database issue", "issued" : { "date-parts" : [ [ "2013", "1" ] ] }, "page" : "D597-604", "title" : "The Protist Ribosomal Reference database (PR2): a catalog of unicellular eukaryote small sub-unit rRNA sequences with curated taxonomy.", "type" : "article-journal", "volume" : "41" }, "uris" : [ "http://www.mendeley.com/documents/?uuid=11d4126a-ba40-4592-bf74-01307f93f6ed" ] } ], "mendeley" : { "formattedCitation" : "(Guillou et al., 2013)", "plainTextFormattedCitation" : "(Guillou et al., 2013)", "previouslyFormattedCitation" : "(Guillou et al., 2013)" }, "properties" : { "noteIndex" : 0 }, "schema" : "https://github.com/citation-style-language/schema/raw/master/csl-citation.json" }</w:instrText>
      </w:r>
      <w:r w:rsidR="000D3B1B">
        <w:fldChar w:fldCharType="separate"/>
      </w:r>
      <w:r w:rsidR="000D3B1B" w:rsidRPr="000D3B1B">
        <w:rPr>
          <w:noProof/>
        </w:rPr>
        <w:t>(Guillou et al., 2013)</w:t>
      </w:r>
      <w:r w:rsidR="000D3B1B">
        <w:fldChar w:fldCharType="end"/>
      </w:r>
      <w:r w:rsidR="000D3B1B">
        <w:t xml:space="preserve"> has been used for </w:t>
      </w:r>
      <w:r w:rsidR="00753B5B">
        <w:t xml:space="preserve">more accurate </w:t>
      </w:r>
      <w:r w:rsidR="008833C7">
        <w:t xml:space="preserve">taxonomic </w:t>
      </w:r>
      <w:r w:rsidR="000D3B1B">
        <w:t>characterization of the eukaryotic 18S.</w:t>
      </w:r>
      <w:r w:rsidR="001314A4">
        <w:t xml:space="preserve"> </w:t>
      </w:r>
      <w:r w:rsidR="00747F17">
        <w:t>Every OTU</w:t>
      </w:r>
      <w:r w:rsidR="001314A4">
        <w:t xml:space="preserve"> </w:t>
      </w:r>
      <w:r w:rsidR="00585AEE">
        <w:t>with a classification</w:t>
      </w:r>
      <w:r w:rsidR="00747F17">
        <w:t xml:space="preserve"> confidence</w:t>
      </w:r>
      <w:r w:rsidR="00585AEE">
        <w:t xml:space="preserve"> </w:t>
      </w:r>
      <w:r w:rsidR="001314A4">
        <w:t xml:space="preserve">score lower than 80 </w:t>
      </w:r>
      <w:r w:rsidR="00747F17">
        <w:t xml:space="preserve">for 16S and 60 for 18S </w:t>
      </w:r>
      <w:r w:rsidR="001314A4">
        <w:t>were changed to ‘unclassified’</w:t>
      </w:r>
      <w:r w:rsidR="00585AEE">
        <w:t>.</w:t>
      </w:r>
    </w:p>
    <w:p w14:paraId="579B3B0C" w14:textId="6B23DF58" w:rsidR="0062029D" w:rsidRDefault="00DE43BF" w:rsidP="007E0AC7">
      <w:pPr>
        <w:pStyle w:val="Heading3"/>
        <w:rPr>
          <w:noProof/>
        </w:rPr>
      </w:pPr>
      <w:r>
        <w:rPr>
          <w:noProof/>
        </w:rPr>
        <w:t xml:space="preserve">OTU </w:t>
      </w:r>
      <w:r w:rsidR="00246434">
        <w:rPr>
          <w:noProof/>
        </w:rPr>
        <w:t>c</w:t>
      </w:r>
      <w:r w:rsidR="00EC55B9">
        <w:rPr>
          <w:noProof/>
        </w:rPr>
        <w:t>orrelation analysis</w:t>
      </w:r>
    </w:p>
    <w:p w14:paraId="44F4D3A2" w14:textId="4905E32E" w:rsidR="00E615E8" w:rsidRPr="00E615E8" w:rsidRDefault="00A87CAD" w:rsidP="00E615E8">
      <w:r>
        <w:tab/>
        <w:t>T</w:t>
      </w:r>
      <w:r w:rsidR="00E615E8">
        <w:t xml:space="preserve">he program SparCC </w:t>
      </w:r>
      <w:r>
        <w:fldChar w:fldCharType="begin" w:fldLock="1"/>
      </w:r>
      <w:r>
        <w:instrText>ADDIN CSL_CITATION { "citationItems" : [ { "id" : "ITEM-1", "itemData" : { "DOI" : "10.1371/journal.pcbi.1002687", "ISBN" : "1553-7358 (Electronic)\\n1553-734X (Linking)", "ISSN" : "1553734X", "PMID" : "23028285", "abstract" : "High-throughput sequencing based techniques, such as 16S rRNA gene profiling, have the potential to elucidate the complex inner workings of natural microbial communities - be they from the world's oceans or the human gut. A key step in exploring such data is the identification of dependencies between members of these communities, which is commonly achieved by correlation analysis. However, it has been known since the days of Karl Pearson that the analysis of the type of data generated by such techniques (referred to as compositional data) can produce unreliable results since the observed data take the form of relative fractions of genes or species, rather than their absolute abundances. Using simulated and real data from the Human Microbiome Project, we show that such compositional effects can be widespread and severe: in some real data sets many of the correlations among taxa can be artifactual, and true correlations may even appear with opposite sign. Additionally, we show that community diversity is the key factor that modulates the acuteness of such compositional effects, and develop a new approach, called SparCC (available at https://bitbucket.org/yonatanf/sparcc), which is capable of estimating correlation values from compositional data. To illustrate a potential application of SparCC, we infer a rich ecological network connecting hundreds of interacting species across 18 sites on the human body. Using the SparCC network as a reference, we estimated that the standard approach yields 3 spurious species-species interactions for each true interaction and misses 60% of the true interactions in the human microbiome data, and, as predicted, most of the erroneous links are found in the samples with the lowest diversity.", "author" : [ { "dropping-particle" : "", "family" : "Friedman", "given" : "Jonathan", "non-dropping-particle" : "", "parse-names" : false, "suffix" : "" }, { "dropping-particle" : "", "family" : "Alm", "given" : "Eric J.", "non-dropping-particle" : "", "parse-names" : false, "suffix" : "" } ], "container-title" : "PLoS Computational Biology", "id" : "ITEM-1", "issue" : "9", "issued" : { "date-parts" : [ [ "2012" ] ] }, "page" : "1-11", "title" : "Inferring Correlation Networks from Genomic Survey Data", "type" : "article-journal", "volume" : "8" }, "uris" : [ "http://www.mendeley.com/documents/?uuid=ea246030-667e-404c-b9d9-466e0d1b7800" ] } ], "mendeley" : { "formattedCitation" : "(Friedman and Alm, 2012)", "plainTextFormattedCitation" : "(Friedman and Alm, 2012)" }, "properties" : { "noteIndex" : 0 }, "schema" : "https://github.com/citation-style-language/schema/raw/master/csl-citation.json" }</w:instrText>
      </w:r>
      <w:r>
        <w:fldChar w:fldCharType="separate"/>
      </w:r>
      <w:r w:rsidRPr="00A87CAD">
        <w:rPr>
          <w:noProof/>
        </w:rPr>
        <w:t>(Friedman and Alm, 2012)</w:t>
      </w:r>
      <w:r>
        <w:fldChar w:fldCharType="end"/>
      </w:r>
      <w:r>
        <w:t xml:space="preserve"> was used for the correlation analysis between OTUs in the two sampled locations.</w:t>
      </w:r>
      <w:bookmarkStart w:id="0" w:name="_GoBack"/>
      <w:bookmarkEnd w:id="0"/>
    </w:p>
    <w:p w14:paraId="6DE927CA" w14:textId="6E834175" w:rsidR="0062029D" w:rsidRPr="0062029D" w:rsidRDefault="00BD7B57" w:rsidP="0067311F">
      <w:pPr>
        <w:rPr>
          <w:lang w:val="de-DE" w:eastAsia="zh-TW"/>
        </w:rPr>
      </w:pPr>
      <w:r>
        <w:rPr>
          <w:lang w:val="de-DE" w:eastAsia="zh-TW"/>
        </w:rPr>
        <w:tab/>
      </w:r>
    </w:p>
    <w:p w14:paraId="2A706DA0" w14:textId="77777777" w:rsidR="00C5359A" w:rsidRPr="00FF3B15" w:rsidRDefault="00C5359A" w:rsidP="00FF3B15">
      <w:pPr>
        <w:spacing w:line="360" w:lineRule="auto"/>
        <w:rPr>
          <w:noProof/>
        </w:rPr>
      </w:pPr>
    </w:p>
    <w:p w14:paraId="09F5ADB4" w14:textId="1C594FFC" w:rsidR="00FF3B15" w:rsidRDefault="00FF3B15">
      <w:pPr>
        <w:rPr>
          <w:noProof/>
          <w:sz w:val="26"/>
          <w:szCs w:val="26"/>
        </w:rPr>
      </w:pPr>
      <w:r>
        <w:rPr>
          <w:noProof/>
          <w:sz w:val="26"/>
          <w:szCs w:val="26"/>
        </w:rPr>
        <w:br w:type="page"/>
      </w:r>
    </w:p>
    <w:p w14:paraId="62ADFCFE" w14:textId="08B60144" w:rsidR="00A87CAD" w:rsidRPr="00A87CAD" w:rsidRDefault="00FF3B15" w:rsidP="00A87CAD">
      <w:pPr>
        <w:widowControl w:val="0"/>
        <w:autoSpaceDE w:val="0"/>
        <w:autoSpaceDN w:val="0"/>
        <w:adjustRightInd w:val="0"/>
        <w:spacing w:line="360" w:lineRule="auto"/>
        <w:ind w:left="480" w:hanging="480"/>
        <w:rPr>
          <w:rFonts w:ascii="Calibri" w:eastAsia="Times New Roman" w:hAnsi="Calibri" w:cs="Times New Roman"/>
          <w:noProof/>
        </w:rPr>
      </w:pPr>
      <w:r>
        <w:rPr>
          <w:noProof/>
        </w:rPr>
        <w:fldChar w:fldCharType="begin" w:fldLock="1"/>
      </w:r>
      <w:r>
        <w:rPr>
          <w:noProof/>
        </w:rPr>
        <w:instrText xml:space="preserve">ADDIN Mendeley Bibliography CSL_BIBLIOGRAPHY </w:instrText>
      </w:r>
      <w:r>
        <w:rPr>
          <w:noProof/>
        </w:rPr>
        <w:fldChar w:fldCharType="separate"/>
      </w:r>
      <w:r w:rsidR="00A87CAD" w:rsidRPr="00A87CAD">
        <w:rPr>
          <w:rFonts w:ascii="Calibri" w:eastAsia="Times New Roman" w:hAnsi="Calibri" w:cs="Times New Roman"/>
          <w:noProof/>
        </w:rPr>
        <w:t xml:space="preserve">Amaral-Zettler, L. a, McCliment, E. a, Ducklow, H.W., and Huse, S.M. (2009) A method for studying protistan diversity using massively parallel sequencing of V9 hypervariable regions of small-subunit ribosomal RNA genes. </w:t>
      </w:r>
      <w:r w:rsidR="00A87CAD" w:rsidRPr="00A87CAD">
        <w:rPr>
          <w:rFonts w:ascii="Calibri" w:eastAsia="Times New Roman" w:hAnsi="Calibri" w:cs="Times New Roman"/>
          <w:i/>
          <w:iCs/>
          <w:noProof/>
        </w:rPr>
        <w:t>PLoS One</w:t>
      </w:r>
      <w:r w:rsidR="00A87CAD" w:rsidRPr="00A87CAD">
        <w:rPr>
          <w:rFonts w:ascii="Calibri" w:eastAsia="Times New Roman" w:hAnsi="Calibri" w:cs="Times New Roman"/>
          <w:noProof/>
        </w:rPr>
        <w:t xml:space="preserve"> </w:t>
      </w:r>
      <w:r w:rsidR="00A87CAD" w:rsidRPr="00A87CAD">
        <w:rPr>
          <w:rFonts w:ascii="Calibri" w:eastAsia="Times New Roman" w:hAnsi="Calibri" w:cs="Times New Roman"/>
          <w:b/>
          <w:bCs/>
          <w:noProof/>
        </w:rPr>
        <w:t>4</w:t>
      </w:r>
      <w:r w:rsidR="00A87CAD" w:rsidRPr="00A87CAD">
        <w:rPr>
          <w:rFonts w:ascii="Calibri" w:eastAsia="Times New Roman" w:hAnsi="Calibri" w:cs="Times New Roman"/>
          <w:noProof/>
        </w:rPr>
        <w:t>: e6372.</w:t>
      </w:r>
    </w:p>
    <w:p w14:paraId="47CF8420"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Friedman, J. and Alm, E.J. (2012) Inferring Correlation Networks from Genomic Survey Data. </w:t>
      </w:r>
      <w:r w:rsidRPr="00A87CAD">
        <w:rPr>
          <w:rFonts w:ascii="Calibri" w:eastAsia="Times New Roman" w:hAnsi="Calibri" w:cs="Times New Roman"/>
          <w:i/>
          <w:iCs/>
          <w:noProof/>
        </w:rPr>
        <w:t>PLoS Comput. Biol.</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8</w:t>
      </w:r>
      <w:r w:rsidRPr="00A87CAD">
        <w:rPr>
          <w:rFonts w:ascii="Calibri" w:eastAsia="Times New Roman" w:hAnsi="Calibri" w:cs="Times New Roman"/>
          <w:noProof/>
        </w:rPr>
        <w:t>: 1–11.</w:t>
      </w:r>
    </w:p>
    <w:p w14:paraId="7F0C9005"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Gilbert, J.A., Jansson, J.K., and Knight, R. (2014) The Earth Microbiome project: successes and aspirations. </w:t>
      </w:r>
      <w:r w:rsidRPr="00A87CAD">
        <w:rPr>
          <w:rFonts w:ascii="Calibri" w:eastAsia="Times New Roman" w:hAnsi="Calibri" w:cs="Times New Roman"/>
          <w:i/>
          <w:iCs/>
          <w:noProof/>
        </w:rPr>
        <w:t>BMC Biol.</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12</w:t>
      </w:r>
      <w:r w:rsidRPr="00A87CAD">
        <w:rPr>
          <w:rFonts w:ascii="Calibri" w:eastAsia="Times New Roman" w:hAnsi="Calibri" w:cs="Times New Roman"/>
          <w:noProof/>
        </w:rPr>
        <w:t>: 69.</w:t>
      </w:r>
    </w:p>
    <w:p w14:paraId="1FFE0C33"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Guillou, L., Bachar, D., Audic, S., Bass, D., Berney, C., Bittner, L., et al. (2013) The Protist Ribosomal Reference database (PR2): a catalog of unicellular eukaryote small sub-unit rRNA sequences with curated taxonomy. </w:t>
      </w:r>
      <w:r w:rsidRPr="00A87CAD">
        <w:rPr>
          <w:rFonts w:ascii="Calibri" w:eastAsia="Times New Roman" w:hAnsi="Calibri" w:cs="Times New Roman"/>
          <w:i/>
          <w:iCs/>
          <w:noProof/>
        </w:rPr>
        <w:t>Nucleic Acids Res.</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41</w:t>
      </w:r>
      <w:r w:rsidRPr="00A87CAD">
        <w:rPr>
          <w:rFonts w:ascii="Calibri" w:eastAsia="Times New Roman" w:hAnsi="Calibri" w:cs="Times New Roman"/>
          <w:noProof/>
        </w:rPr>
        <w:t>: D597–604.</w:t>
      </w:r>
    </w:p>
    <w:p w14:paraId="7026C815"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Herbold, C.W., Pelikan, C., Kuzyk, O., Hausmann, B., Angel, R., Berry, D., and Loy, A. (2015) A flexible and economical barcoding approach for highly multiplexed amplicon sequencing of diverse target genes. </w:t>
      </w:r>
      <w:r w:rsidRPr="00A87CAD">
        <w:rPr>
          <w:rFonts w:ascii="Calibri" w:eastAsia="Times New Roman" w:hAnsi="Calibri" w:cs="Times New Roman"/>
          <w:i/>
          <w:iCs/>
          <w:noProof/>
        </w:rPr>
        <w:t>Front. Microbiol.</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6</w:t>
      </w:r>
      <w:r w:rsidRPr="00A87CAD">
        <w:rPr>
          <w:rFonts w:ascii="Calibri" w:eastAsia="Times New Roman" w:hAnsi="Calibri" w:cs="Times New Roman"/>
          <w:noProof/>
        </w:rPr>
        <w:t>: 1–8.</w:t>
      </w:r>
    </w:p>
    <w:p w14:paraId="1AD6B961"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Herbold, C.W., Pelikan, C., Kuzyk, O., Hausmann, B., Angel, R., Berry, D., and Loy, A. (2015) A flexible and economical barcoding approach for highly multiplexed amplicon sequencing of diverse target genes A flexible and economical barcoding approach for highly multiplexed amplicon sequencing of diverse target genes. </w:t>
      </w:r>
      <w:r w:rsidRPr="00A87CAD">
        <w:rPr>
          <w:rFonts w:ascii="Calibri" w:eastAsia="Times New Roman" w:hAnsi="Calibri" w:cs="Times New Roman"/>
          <w:b/>
          <w:bCs/>
          <w:noProof/>
        </w:rPr>
        <w:t>6</w:t>
      </w:r>
      <w:r w:rsidRPr="00A87CAD">
        <w:rPr>
          <w:rFonts w:ascii="Calibri" w:eastAsia="Times New Roman" w:hAnsi="Calibri" w:cs="Times New Roman"/>
          <w:noProof/>
        </w:rPr>
        <w:t>: 1–8.</w:t>
      </w:r>
    </w:p>
    <w:p w14:paraId="3A927982"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Herlemann, D.P., Labrenz, M., Jürgens, K., Bertilsson, S., Waniek, J.J., and Andersson, A.F. (2011) Transitions in bacterial communities along the 2000 km salinity gradient of the Baltic Sea. </w:t>
      </w:r>
      <w:r w:rsidRPr="00A87CAD">
        <w:rPr>
          <w:rFonts w:ascii="Calibri" w:eastAsia="Times New Roman" w:hAnsi="Calibri" w:cs="Times New Roman"/>
          <w:i/>
          <w:iCs/>
          <w:noProof/>
        </w:rPr>
        <w:t>ISME J.</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5</w:t>
      </w:r>
      <w:r w:rsidRPr="00A87CAD">
        <w:rPr>
          <w:rFonts w:ascii="Calibri" w:eastAsia="Times New Roman" w:hAnsi="Calibri" w:cs="Times New Roman"/>
          <w:noProof/>
        </w:rPr>
        <w:t>: 1571–1579.</w:t>
      </w:r>
    </w:p>
    <w:p w14:paraId="204C3DB4"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Quast, C., Pruesse, E., Yilmaz, P., Gerken, J., Schweer, T., Yarza, P., et al. (2013) The SILVA ribosomal RNA gene database project: Improved data processing and web-based tools. </w:t>
      </w:r>
      <w:r w:rsidRPr="00A87CAD">
        <w:rPr>
          <w:rFonts w:ascii="Calibri" w:eastAsia="Times New Roman" w:hAnsi="Calibri" w:cs="Times New Roman"/>
          <w:i/>
          <w:iCs/>
          <w:noProof/>
        </w:rPr>
        <w:t>Nucleic Acids Res.</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41</w:t>
      </w:r>
      <w:r w:rsidRPr="00A87CAD">
        <w:rPr>
          <w:rFonts w:ascii="Calibri" w:eastAsia="Times New Roman" w:hAnsi="Calibri" w:cs="Times New Roman"/>
          <w:noProof/>
        </w:rPr>
        <w:t>: 590–596.</w:t>
      </w:r>
    </w:p>
    <w:p w14:paraId="27E7F530" w14:textId="77777777" w:rsidR="00A87CAD" w:rsidRPr="00A87CAD" w:rsidRDefault="00A87CAD" w:rsidP="00A87CAD">
      <w:pPr>
        <w:widowControl w:val="0"/>
        <w:autoSpaceDE w:val="0"/>
        <w:autoSpaceDN w:val="0"/>
        <w:adjustRightInd w:val="0"/>
        <w:spacing w:line="360" w:lineRule="auto"/>
        <w:ind w:left="480" w:hanging="480"/>
        <w:rPr>
          <w:rFonts w:ascii="Calibri" w:hAnsi="Calibri"/>
          <w:noProof/>
        </w:rPr>
      </w:pPr>
      <w:r w:rsidRPr="00A87CAD">
        <w:rPr>
          <w:rFonts w:ascii="Calibri" w:eastAsia="Times New Roman" w:hAnsi="Calibri" w:cs="Times New Roman"/>
          <w:noProof/>
        </w:rPr>
        <w:t xml:space="preserve">Schloss, P.D., Westcott, S.L., Ryabin, T., Hall, J.R., Hartmann, M., Hollister, E.B., et al. (2009) Introducing mothur: Open-source, platform-independent, community-supported software for describing and comparing microbial communities. </w:t>
      </w:r>
      <w:r w:rsidRPr="00A87CAD">
        <w:rPr>
          <w:rFonts w:ascii="Calibri" w:eastAsia="Times New Roman" w:hAnsi="Calibri" w:cs="Times New Roman"/>
          <w:i/>
          <w:iCs/>
          <w:noProof/>
        </w:rPr>
        <w:t>Appl. Environ. Microbiol.</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75</w:t>
      </w:r>
      <w:r w:rsidRPr="00A87CAD">
        <w:rPr>
          <w:rFonts w:ascii="Calibri" w:eastAsia="Times New Roman" w:hAnsi="Calibri" w:cs="Times New Roman"/>
          <w:noProof/>
        </w:rPr>
        <w:t>: 7537–7541.</w:t>
      </w:r>
    </w:p>
    <w:p w14:paraId="295E3A95" w14:textId="15CB1198" w:rsidR="00D72BD3" w:rsidRPr="00D72BD3" w:rsidRDefault="00FF3B15" w:rsidP="00A87CAD">
      <w:pPr>
        <w:widowControl w:val="0"/>
        <w:autoSpaceDE w:val="0"/>
        <w:autoSpaceDN w:val="0"/>
        <w:adjustRightInd w:val="0"/>
        <w:spacing w:line="360" w:lineRule="auto"/>
        <w:ind w:left="480" w:hanging="480"/>
        <w:rPr>
          <w:noProof/>
        </w:rPr>
      </w:pPr>
      <w:r>
        <w:rPr>
          <w:noProof/>
        </w:rPr>
        <w:fldChar w:fldCharType="end"/>
      </w:r>
    </w:p>
    <w:sectPr w:rsidR="00D72BD3" w:rsidRPr="00D72BD3" w:rsidSect="00EF433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0E"/>
    <w:rsid w:val="000122E8"/>
    <w:rsid w:val="00013F0A"/>
    <w:rsid w:val="00023A0E"/>
    <w:rsid w:val="000261AE"/>
    <w:rsid w:val="0004198E"/>
    <w:rsid w:val="000D3B1B"/>
    <w:rsid w:val="001314A4"/>
    <w:rsid w:val="001457B2"/>
    <w:rsid w:val="00246434"/>
    <w:rsid w:val="00273436"/>
    <w:rsid w:val="00280941"/>
    <w:rsid w:val="002A2871"/>
    <w:rsid w:val="002B673B"/>
    <w:rsid w:val="002F7450"/>
    <w:rsid w:val="00366C3C"/>
    <w:rsid w:val="003813B4"/>
    <w:rsid w:val="003C218B"/>
    <w:rsid w:val="003C4B97"/>
    <w:rsid w:val="003D2D9B"/>
    <w:rsid w:val="004175E9"/>
    <w:rsid w:val="004543DD"/>
    <w:rsid w:val="00482C10"/>
    <w:rsid w:val="00585AEE"/>
    <w:rsid w:val="0061649A"/>
    <w:rsid w:val="0062029D"/>
    <w:rsid w:val="0067311F"/>
    <w:rsid w:val="006737E1"/>
    <w:rsid w:val="00702631"/>
    <w:rsid w:val="00747F17"/>
    <w:rsid w:val="00753B5B"/>
    <w:rsid w:val="007E0AC7"/>
    <w:rsid w:val="007E1170"/>
    <w:rsid w:val="008255FB"/>
    <w:rsid w:val="0087610A"/>
    <w:rsid w:val="008833C7"/>
    <w:rsid w:val="0089016A"/>
    <w:rsid w:val="008E27EB"/>
    <w:rsid w:val="008F4D8B"/>
    <w:rsid w:val="00926534"/>
    <w:rsid w:val="00941234"/>
    <w:rsid w:val="00942386"/>
    <w:rsid w:val="009A1241"/>
    <w:rsid w:val="00A4263F"/>
    <w:rsid w:val="00A753A3"/>
    <w:rsid w:val="00A87CAD"/>
    <w:rsid w:val="00AC23C0"/>
    <w:rsid w:val="00AD0F8B"/>
    <w:rsid w:val="00AD7440"/>
    <w:rsid w:val="00BD7B57"/>
    <w:rsid w:val="00BE5022"/>
    <w:rsid w:val="00C5359A"/>
    <w:rsid w:val="00C60333"/>
    <w:rsid w:val="00D051CA"/>
    <w:rsid w:val="00D440A6"/>
    <w:rsid w:val="00D72BD3"/>
    <w:rsid w:val="00DB2DA9"/>
    <w:rsid w:val="00DE43BF"/>
    <w:rsid w:val="00E336D8"/>
    <w:rsid w:val="00E43411"/>
    <w:rsid w:val="00E615E8"/>
    <w:rsid w:val="00EC022B"/>
    <w:rsid w:val="00EC55B9"/>
    <w:rsid w:val="00EF4333"/>
    <w:rsid w:val="00F23889"/>
    <w:rsid w:val="00F36B14"/>
    <w:rsid w:val="00F56DA3"/>
    <w:rsid w:val="00F939B1"/>
    <w:rsid w:val="00FA6709"/>
    <w:rsid w:val="00FF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DE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C7"/>
  </w:style>
  <w:style w:type="paragraph" w:styleId="Heading1">
    <w:name w:val="heading 1"/>
    <w:basedOn w:val="Normal"/>
    <w:next w:val="Normal"/>
    <w:link w:val="Heading1Char"/>
    <w:uiPriority w:val="9"/>
    <w:qFormat/>
    <w:rsid w:val="007E0AC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E0AC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E0AC7"/>
    <w:pPr>
      <w:spacing w:before="200" w:after="0" w:line="271" w:lineRule="auto"/>
      <w:outlineLvl w:val="2"/>
    </w:pPr>
    <w:rPr>
      <w:iCs/>
      <w:smallCaps/>
      <w:spacing w:val="5"/>
      <w:sz w:val="26"/>
      <w:szCs w:val="26"/>
      <w:lang w:val="de-DE"/>
    </w:rPr>
  </w:style>
  <w:style w:type="paragraph" w:styleId="Heading4">
    <w:name w:val="heading 4"/>
    <w:basedOn w:val="Normal"/>
    <w:next w:val="Normal"/>
    <w:link w:val="Heading4Char"/>
    <w:uiPriority w:val="9"/>
    <w:semiHidden/>
    <w:unhideWhenUsed/>
    <w:qFormat/>
    <w:rsid w:val="007E0AC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E0AC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E0AC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E0AC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E0AC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E0AC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C7"/>
    <w:rPr>
      <w:smallCaps/>
      <w:spacing w:val="5"/>
      <w:sz w:val="36"/>
      <w:szCs w:val="36"/>
    </w:rPr>
  </w:style>
  <w:style w:type="character" w:customStyle="1" w:styleId="Heading2Char">
    <w:name w:val="Heading 2 Char"/>
    <w:basedOn w:val="DefaultParagraphFont"/>
    <w:link w:val="Heading2"/>
    <w:uiPriority w:val="9"/>
    <w:rsid w:val="007E0AC7"/>
    <w:rPr>
      <w:smallCaps/>
      <w:sz w:val="28"/>
      <w:szCs w:val="28"/>
    </w:rPr>
  </w:style>
  <w:style w:type="paragraph" w:customStyle="1" w:styleId="PersonalName">
    <w:name w:val="Personal Name"/>
    <w:basedOn w:val="Title"/>
    <w:rsid w:val="007E0AC7"/>
    <w:rPr>
      <w:b/>
      <w:caps/>
      <w:color w:val="000000"/>
      <w:sz w:val="28"/>
      <w:szCs w:val="28"/>
    </w:rPr>
  </w:style>
  <w:style w:type="paragraph" w:styleId="Title">
    <w:name w:val="Title"/>
    <w:basedOn w:val="Normal"/>
    <w:next w:val="Normal"/>
    <w:link w:val="TitleChar"/>
    <w:uiPriority w:val="10"/>
    <w:qFormat/>
    <w:rsid w:val="007E0AC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E0AC7"/>
    <w:rPr>
      <w:smallCaps/>
      <w:sz w:val="52"/>
      <w:szCs w:val="52"/>
    </w:rPr>
  </w:style>
  <w:style w:type="character" w:customStyle="1" w:styleId="Heading3Char">
    <w:name w:val="Heading 3 Char"/>
    <w:basedOn w:val="DefaultParagraphFont"/>
    <w:link w:val="Heading3"/>
    <w:uiPriority w:val="9"/>
    <w:rsid w:val="007E0AC7"/>
    <w:rPr>
      <w:iCs/>
      <w:smallCaps/>
      <w:spacing w:val="5"/>
      <w:sz w:val="26"/>
      <w:szCs w:val="26"/>
      <w:lang w:val="de-DE"/>
    </w:rPr>
  </w:style>
  <w:style w:type="character" w:customStyle="1" w:styleId="Heading4Char">
    <w:name w:val="Heading 4 Char"/>
    <w:basedOn w:val="DefaultParagraphFont"/>
    <w:link w:val="Heading4"/>
    <w:uiPriority w:val="9"/>
    <w:semiHidden/>
    <w:rsid w:val="007E0AC7"/>
    <w:rPr>
      <w:b/>
      <w:bCs/>
      <w:spacing w:val="5"/>
      <w:sz w:val="24"/>
      <w:szCs w:val="24"/>
    </w:rPr>
  </w:style>
  <w:style w:type="character" w:customStyle="1" w:styleId="Heading5Char">
    <w:name w:val="Heading 5 Char"/>
    <w:basedOn w:val="DefaultParagraphFont"/>
    <w:link w:val="Heading5"/>
    <w:uiPriority w:val="9"/>
    <w:semiHidden/>
    <w:rsid w:val="007E0AC7"/>
    <w:rPr>
      <w:i/>
      <w:iCs/>
      <w:sz w:val="24"/>
      <w:szCs w:val="24"/>
    </w:rPr>
  </w:style>
  <w:style w:type="character" w:customStyle="1" w:styleId="Heading6Char">
    <w:name w:val="Heading 6 Char"/>
    <w:basedOn w:val="DefaultParagraphFont"/>
    <w:link w:val="Heading6"/>
    <w:uiPriority w:val="9"/>
    <w:semiHidden/>
    <w:rsid w:val="007E0AC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E0AC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E0AC7"/>
    <w:rPr>
      <w:b/>
      <w:bCs/>
      <w:color w:val="7F7F7F" w:themeColor="text1" w:themeTint="80"/>
      <w:sz w:val="20"/>
      <w:szCs w:val="20"/>
    </w:rPr>
  </w:style>
  <w:style w:type="character" w:customStyle="1" w:styleId="Heading9Char">
    <w:name w:val="Heading 9 Char"/>
    <w:basedOn w:val="DefaultParagraphFont"/>
    <w:link w:val="Heading9"/>
    <w:uiPriority w:val="9"/>
    <w:semiHidden/>
    <w:rsid w:val="007E0AC7"/>
    <w:rPr>
      <w:b/>
      <w:bCs/>
      <w:i/>
      <w:iCs/>
      <w:color w:val="7F7F7F" w:themeColor="text1" w:themeTint="80"/>
      <w:sz w:val="18"/>
      <w:szCs w:val="18"/>
    </w:rPr>
  </w:style>
  <w:style w:type="paragraph" w:styleId="Caption">
    <w:name w:val="caption"/>
    <w:basedOn w:val="Normal"/>
    <w:next w:val="Normal"/>
    <w:uiPriority w:val="35"/>
    <w:semiHidden/>
    <w:unhideWhenUsed/>
    <w:rsid w:val="007E0AC7"/>
    <w:pPr>
      <w:spacing w:line="240" w:lineRule="auto"/>
    </w:pPr>
    <w:rPr>
      <w:rFonts w:eastAsiaTheme="minorEastAsia"/>
      <w:b/>
      <w:bCs/>
      <w:smallCaps/>
      <w:color w:val="44546A" w:themeColor="text2"/>
      <w:spacing w:val="6"/>
      <w:szCs w:val="18"/>
      <w:lang w:bidi="hi-IN"/>
    </w:rPr>
  </w:style>
  <w:style w:type="paragraph" w:styleId="Subtitle">
    <w:name w:val="Subtitle"/>
    <w:basedOn w:val="Normal"/>
    <w:next w:val="Normal"/>
    <w:link w:val="SubtitleChar"/>
    <w:uiPriority w:val="11"/>
    <w:qFormat/>
    <w:rsid w:val="007E0AC7"/>
    <w:rPr>
      <w:i/>
      <w:iCs/>
      <w:smallCaps/>
      <w:spacing w:val="10"/>
      <w:sz w:val="28"/>
      <w:szCs w:val="28"/>
    </w:rPr>
  </w:style>
  <w:style w:type="character" w:customStyle="1" w:styleId="SubtitleChar">
    <w:name w:val="Subtitle Char"/>
    <w:basedOn w:val="DefaultParagraphFont"/>
    <w:link w:val="Subtitle"/>
    <w:uiPriority w:val="11"/>
    <w:rsid w:val="007E0AC7"/>
    <w:rPr>
      <w:i/>
      <w:iCs/>
      <w:smallCaps/>
      <w:spacing w:val="10"/>
      <w:sz w:val="28"/>
      <w:szCs w:val="28"/>
    </w:rPr>
  </w:style>
  <w:style w:type="character" w:styleId="Strong">
    <w:name w:val="Strong"/>
    <w:uiPriority w:val="22"/>
    <w:qFormat/>
    <w:rsid w:val="007E0AC7"/>
    <w:rPr>
      <w:b/>
      <w:bCs/>
    </w:rPr>
  </w:style>
  <w:style w:type="character" w:styleId="Emphasis">
    <w:name w:val="Emphasis"/>
    <w:uiPriority w:val="20"/>
    <w:qFormat/>
    <w:rsid w:val="007E0AC7"/>
    <w:rPr>
      <w:b/>
      <w:bCs/>
      <w:i/>
      <w:iCs/>
      <w:spacing w:val="10"/>
    </w:rPr>
  </w:style>
  <w:style w:type="paragraph" w:styleId="NoSpacing">
    <w:name w:val="No Spacing"/>
    <w:basedOn w:val="Normal"/>
    <w:link w:val="NoSpacingChar"/>
    <w:uiPriority w:val="1"/>
    <w:qFormat/>
    <w:rsid w:val="007E0AC7"/>
    <w:pPr>
      <w:spacing w:after="0" w:line="240" w:lineRule="auto"/>
    </w:pPr>
  </w:style>
  <w:style w:type="character" w:customStyle="1" w:styleId="NoSpacingChar">
    <w:name w:val="No Spacing Char"/>
    <w:basedOn w:val="DefaultParagraphFont"/>
    <w:link w:val="NoSpacing"/>
    <w:uiPriority w:val="1"/>
    <w:rsid w:val="007E0AC7"/>
  </w:style>
  <w:style w:type="paragraph" w:styleId="ListParagraph">
    <w:name w:val="List Paragraph"/>
    <w:basedOn w:val="Normal"/>
    <w:uiPriority w:val="34"/>
    <w:qFormat/>
    <w:rsid w:val="007E0AC7"/>
    <w:pPr>
      <w:ind w:left="720"/>
      <w:contextualSpacing/>
    </w:pPr>
  </w:style>
  <w:style w:type="paragraph" w:styleId="Quote">
    <w:name w:val="Quote"/>
    <w:basedOn w:val="Normal"/>
    <w:next w:val="Normal"/>
    <w:link w:val="QuoteChar"/>
    <w:uiPriority w:val="29"/>
    <w:qFormat/>
    <w:rsid w:val="007E0AC7"/>
    <w:rPr>
      <w:i/>
      <w:iCs/>
    </w:rPr>
  </w:style>
  <w:style w:type="character" w:customStyle="1" w:styleId="QuoteChar">
    <w:name w:val="Quote Char"/>
    <w:basedOn w:val="DefaultParagraphFont"/>
    <w:link w:val="Quote"/>
    <w:uiPriority w:val="29"/>
    <w:rsid w:val="007E0AC7"/>
    <w:rPr>
      <w:i/>
      <w:iCs/>
    </w:rPr>
  </w:style>
  <w:style w:type="paragraph" w:styleId="IntenseQuote">
    <w:name w:val="Intense Quote"/>
    <w:basedOn w:val="Normal"/>
    <w:next w:val="Normal"/>
    <w:link w:val="IntenseQuoteChar"/>
    <w:uiPriority w:val="30"/>
    <w:qFormat/>
    <w:rsid w:val="007E0AC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E0AC7"/>
    <w:rPr>
      <w:i/>
      <w:iCs/>
    </w:rPr>
  </w:style>
  <w:style w:type="character" w:styleId="SubtleEmphasis">
    <w:name w:val="Subtle Emphasis"/>
    <w:uiPriority w:val="19"/>
    <w:qFormat/>
    <w:rsid w:val="007E0AC7"/>
    <w:rPr>
      <w:i/>
      <w:iCs/>
    </w:rPr>
  </w:style>
  <w:style w:type="character" w:styleId="IntenseEmphasis">
    <w:name w:val="Intense Emphasis"/>
    <w:uiPriority w:val="21"/>
    <w:qFormat/>
    <w:rsid w:val="007E0AC7"/>
    <w:rPr>
      <w:b/>
      <w:bCs/>
      <w:i/>
      <w:iCs/>
    </w:rPr>
  </w:style>
  <w:style w:type="character" w:styleId="SubtleReference">
    <w:name w:val="Subtle Reference"/>
    <w:basedOn w:val="DefaultParagraphFont"/>
    <w:uiPriority w:val="31"/>
    <w:qFormat/>
    <w:rsid w:val="007E0AC7"/>
    <w:rPr>
      <w:smallCaps/>
    </w:rPr>
  </w:style>
  <w:style w:type="character" w:styleId="IntenseReference">
    <w:name w:val="Intense Reference"/>
    <w:uiPriority w:val="32"/>
    <w:qFormat/>
    <w:rsid w:val="007E0AC7"/>
    <w:rPr>
      <w:b/>
      <w:bCs/>
      <w:smallCaps/>
    </w:rPr>
  </w:style>
  <w:style w:type="character" w:styleId="BookTitle">
    <w:name w:val="Book Title"/>
    <w:basedOn w:val="DefaultParagraphFont"/>
    <w:uiPriority w:val="33"/>
    <w:qFormat/>
    <w:rsid w:val="007E0AC7"/>
    <w:rPr>
      <w:i/>
      <w:iCs/>
      <w:smallCaps/>
      <w:spacing w:val="5"/>
    </w:rPr>
  </w:style>
  <w:style w:type="paragraph" w:styleId="TOCHeading">
    <w:name w:val="TOC Heading"/>
    <w:basedOn w:val="Heading1"/>
    <w:next w:val="Normal"/>
    <w:uiPriority w:val="39"/>
    <w:semiHidden/>
    <w:unhideWhenUsed/>
    <w:qFormat/>
    <w:rsid w:val="007E0AC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27C8E-E24C-6B4E-8AE1-AA809B46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5329</Words>
  <Characters>30380</Characters>
  <Application>Microsoft Macintosh Word</Application>
  <DocSecurity>0</DocSecurity>
  <Lines>253</Lines>
  <Paragraphs>71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 </vt:lpstr>
      <vt:lpstr>Materials and methods</vt:lpstr>
      <vt:lpstr>    Sample collection and processing</vt:lpstr>
      <vt:lpstr>        DNA extraction, PCR amplification, and sequencing of 16S V3-V4 and 18S V9 amplic</vt:lpstr>
      <vt:lpstr>        Data compilation, filtering, and clustering</vt:lpstr>
      <vt:lpstr>        OTU correlation analysis</vt:lpstr>
    </vt:vector>
  </TitlesOfParts>
  <Company>University of Vienna; Devision of Microbial Ecology</Company>
  <LinksUpToDate>false</LinksUpToDate>
  <CharactersWithSpaces>35638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Han-Fei Allen Tsao</dc:creator>
  <cp:keywords/>
  <dc:description/>
  <cp:lastModifiedBy>Han-Fei Allen Tsao</cp:lastModifiedBy>
  <cp:revision>30</cp:revision>
  <dcterms:created xsi:type="dcterms:W3CDTF">2016-04-12T08:56:00Z</dcterms:created>
  <dcterms:modified xsi:type="dcterms:W3CDTF">2016-04-28T14:32:00Z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tsao@microbial-ecology.net@www.mendeley.com</vt:lpwstr>
  </property>
  <property fmtid="{D5CDD505-2E9C-101B-9397-08002B2CF9AE}" pid="4" name="Mendeley Citation Style_1">
    <vt:lpwstr>http://www.zotero.org/styles/environmental-microbiology</vt:lpwstr>
  </property>
</Properties>
</file>