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portable-patch-api-design"/>
    <w:p>
      <w:pPr>
        <w:pStyle w:val="Heading1"/>
      </w:pPr>
      <w:r>
        <w:t xml:space="preserve">Portable PATCH API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Implemented by</w:t>
            </w:r>
            <w:r>
              <w:t xml:space="preserve"> </w:t>
            </w: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Providers</w:t>
            </w:r>
          </w:p>
        </w:tc>
        <w:tc>
          <w:tcPr/>
          <w:p>
            <w:pPr>
              <w:pStyle w:val="Compact"/>
            </w:pPr>
            <w:r>
              <w:t xml:space="preserve">Cosmos DB and DynamoDB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</w:tr>
    </w:tbl>
    <w:bookmarkStart w:id="9" w:name="decision"/>
    <w:p>
      <w:pPr>
        <w:pStyle w:val="Heading2"/>
      </w:pPr>
      <w:r>
        <w:t xml:space="preserve">1. Decision</w:t>
      </w:r>
    </w:p>
    <w:p>
      <w:pPr>
        <w:pStyle w:val="FirstParagraph"/>
      </w:pPr>
      <w:r>
        <w:t xml:space="preserve">The SDK exposes one provider-neutral field-level PATCH API: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"SHIPPED"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"/revision"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Cosmos DB and DynamoDB use native server-side partial writes. Spanner declares</w:t>
      </w:r>
      <w:r>
        <w:t xml:space="preserve"> </w:t>
      </w:r>
      <w:r>
        <w:t xml:space="preserve">PATCH unsupported in this release and can implement the same API later.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 conditional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UNSUPPORTED_CAPABILITY</w:t>
            </w:r>
            <w:r>
              <w:t xml:space="preserve"> </w:t>
            </w:r>
            <w:r>
              <w:t xml:space="preserve">before provider I/O</w:t>
            </w:r>
          </w:p>
        </w:tc>
      </w:tr>
    </w:tbl>
    <w:bookmarkEnd w:id="9"/>
    <w:bookmarkStart w:id="23" w:name="portable-contract"/>
    <w:p>
      <w:pPr>
        <w:pStyle w:val="Heading2"/>
      </w:pPr>
      <w:r>
        <w:t xml:space="preserve">2. Portable contract</w:t>
      </w:r>
    </w:p>
    <w:p>
      <w:pPr>
        <w:pStyle w:val="FirstParagraph"/>
      </w:pPr>
      <w:r>
        <w:t xml:space="preserve">All operations in one call are atomic: either all changes are applied or none</w:t>
      </w:r>
      <w:r>
        <w:t xml:space="preserve"> </w:t>
      </w:r>
      <w:r>
        <w:t xml:space="preserve">are applied. The target document must already exist.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Create or overwrite a field. A nested parent must already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Replace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Remove an existing field; otherwise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Atomically add to an existing number.</w:t>
            </w:r>
          </w:p>
        </w:tc>
      </w:tr>
    </w:tbl>
    <w:bookmarkStart w:id="22" w:name="portable-limits-and-rules"/>
    <w:p>
      <w:pPr>
        <w:pStyle w:val="Heading3"/>
      </w:pPr>
      <w:r>
        <w:t xml:space="preserve">Portable limits and rules</w:t>
      </w:r>
    </w:p>
    <w:p>
      <w:pPr>
        <w:pStyle w:val="FirstParagraph"/>
      </w:pPr>
      <w:r>
        <w:t xml:space="preserve">Rules 1 through 10 are checkable from the request alone, so the SDK rejects a</w:t>
      </w:r>
      <w:r>
        <w:t xml:space="preserve"> </w:t>
      </w:r>
      <w:r>
        <w:t xml:space="preserve">violating call before it sends anything to a provider. Rule 11, and the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-result half of rule 7, depend on the stored document — which patch</w:t>
      </w:r>
      <w:r>
        <w:t xml:space="preserve"> </w:t>
      </w:r>
      <w:r>
        <w:t xml:space="preserve">never reads — so the provider enforces them atomically with the write and no</w:t>
      </w:r>
      <w:r>
        <w:t xml:space="preserve"> </w:t>
      </w:r>
      <w:r>
        <w:t xml:space="preserve">operation in the list is applied. Each row combines the portable restriction,</w:t>
      </w:r>
      <w:r>
        <w:t xml:space="preserve"> </w:t>
      </w:r>
      <w:r>
        <w:t xml:space="preserve">the provider difference that requires it, and the supporting reference.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Portable limit or rule</w:t>
            </w:r>
          </w:p>
        </w:tc>
        <w:tc>
          <w:tcPr/>
          <w:p>
            <w:pPr>
              <w:pStyle w:val="Compact"/>
            </w:pPr>
            <w:r>
              <w:t xml:space="preserve">Why it exists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 list</w:t>
            </w:r>
            <w:r>
              <w:t xml:space="preserve"> </w:t>
            </w:r>
            <w:r>
              <w:t xml:space="preserve">— non-null, non-empty, free of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entries, and at most 10 operations per call, exposed as</w:t>
            </w:r>
            <w:r>
              <w:t xml:space="preserve"> </w:t>
            </w:r>
            <w:r>
              <w:rPr>
                <w:rStyle w:val="VerbatimChar"/>
              </w:rPr>
              <w:t xml:space="preserve">MulticloudDbClient.MAX_PATCH_OPERATIONS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Cosmos DB caps one patch at 10 operations; DynamoDB has no matching operation-count cap. Applying the lower limit everywhere prevents the same request from succeeding on one provider and failing on the other. An absent, empty, or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-bearing list has nothing to translate into a native update, so it is rejected uniformly instead of becoming a provider-specific null-pointer or no-op write.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Cosmos DB partial document update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Absolute JSON Pointer paths</w:t>
            </w:r>
            <w:r>
              <w:t xml:space="preserve"> </w:t>
            </w:r>
            <w:r>
              <w:t xml:space="preserve">— every path starts with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and names a field from the document root.</w:t>
            </w:r>
          </w:p>
        </w:tc>
        <w:tc>
          <w:tcPr/>
          <w:p>
            <w:pPr>
              <w:pStyle w:val="Compact"/>
            </w:pPr>
            <w:r>
              <w:t xml:space="preserve">A root-anchored path has one meaning. A relative path would require provider-specific context that the portable API does not define.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RFC 6901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array indexes</w:t>
            </w:r>
            <w:r>
              <w:t xml:space="preserve"> </w:t>
            </w:r>
            <w:r>
              <w:t xml:space="preserve">— a purely numeric segment such as</w:t>
            </w:r>
            <w:r>
              <w:t xml:space="preserve"> </w:t>
            </w:r>
            <w:r>
              <w:rPr>
                <w:rStyle w:val="VerbatimChar"/>
              </w:rPr>
              <w:t xml:space="preserve">/tags/0</w:t>
            </w:r>
            <w:r>
              <w:t xml:space="preserve"> </w:t>
            </w:r>
            <w:r>
              <w:t xml:space="preserve">is rejected.</w:t>
            </w:r>
          </w:p>
        </w:tc>
        <w:tc>
          <w:tcPr/>
          <w:p>
            <w:pPr>
              <w:pStyle w:val="Compact"/>
            </w:pPr>
            <w:r>
              <w:t xml:space="preserve">Cosmos DB and DynamoDB expose different array-element update behavior. The portable operation is to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the complete array instead.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Cosmos DB partial document update</w:t>
              </w:r>
            </w:hyperlink>
            <w:r>
              <w:t xml:space="preserve">;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DynamoDB update expressions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~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escapes</w:t>
            </w:r>
            <w:r>
              <w:t xml:space="preserve"> </w:t>
            </w:r>
            <w:r>
              <w:t xml:space="preserve">— any path containing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is rejected.</w:t>
            </w:r>
          </w:p>
        </w:tc>
        <w:tc>
          <w:tcPr/>
          <w:p>
            <w:pPr>
              <w:pStyle w:val="Compact"/>
            </w:pPr>
            <w:r>
              <w:t xml:space="preserve">JSON Pointer requires</w:t>
            </w:r>
            <w:r>
              <w:t xml:space="preserve"> </w:t>
            </w:r>
            <w:r>
              <w:rPr>
                <w:rStyle w:val="VerbatimChar"/>
              </w:rPr>
              <w:t xml:space="preserve">~1</w:t>
            </w:r>
            <w:r>
              <w:t xml:space="preserve"> </w:t>
            </w:r>
            <w:r>
              <w:t xml:space="preserve">to be decoded before</w:t>
            </w:r>
            <w:r>
              <w:t xml:space="preserve"> </w:t>
            </w:r>
            <w:r>
              <w:rPr>
                <w:rStyle w:val="VerbatimChar"/>
              </w:rPr>
              <w:t xml:space="preserve">~0</w:t>
            </w:r>
            <w:r>
              <w:t xml:space="preserve">. Translating escaped names through different native path dialects could address different fields, so the SDK rejects the ambiguous form.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RFC 6901 §4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duplicate, case-only alias, or overlapping paths</w:t>
            </w:r>
            <w:r>
              <w:t xml:space="preserve"> </w:t>
            </w:r>
            <w:r>
              <w:t xml:space="preserve">— operations cannot target the same field, names differing only by case, or a field and its ancestor.</w:t>
            </w:r>
          </w:p>
        </w:tc>
        <w:tc>
          <w:tcPr/>
          <w:p>
            <w:pPr>
              <w:pStyle w:val="Compact"/>
            </w:pPr>
            <w:r>
              <w:t xml:space="preserve">Native update engines do not share one rule for whether an operation reads the original document or a prior operation’s result. Rejecting overlap removes ordering-dependent results. Siblings such as</w:t>
            </w:r>
            <w:r>
              <w:t xml:space="preserve"> </w:t>
            </w:r>
            <w:r>
              <w:rPr>
                <w:rStyle w:val="VerbatimChar"/>
              </w:rPr>
              <w:t xml:space="preserve">/a/b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/a/c</w:t>
            </w:r>
            <w:r>
              <w:t xml:space="preserve"> </w:t>
            </w:r>
            <w:r>
              <w:t xml:space="preserve">remain valid.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Cosmos DB partial document update</w:t>
              </w:r>
            </w:hyperlink>
            <w:r>
              <w:t xml:space="preserve">;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DynamoDB update expressions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reserved fields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ttlExpiry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-prefixed names, matched without regard to case.</w:t>
            </w:r>
          </w:p>
        </w:tc>
        <w:tc>
          <w:tcPr/>
          <w:p>
            <w:pPr>
              <w:pStyle w:val="Compact"/>
            </w:pPr>
            <w:r>
              <w:t xml:space="preserve">These fields hold SDK keys, provider TTL state, Spanner metadata, or Cosmos DB system properties. Patching them could desynchronize the document from its key or corrupt provider-managed state.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Cosmos DB resource model</w:t>
              </w:r>
            </w:hyperlink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Cosmos DB TTL</w:t>
              </w:r>
            </w:hyperlink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DynamoDB TTL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64-bit integral domain</w:t>
            </w:r>
            <w:r>
              <w:t xml:space="preserve"> </w:t>
            </w:r>
            <w:r>
              <w:t xml:space="preserve">— whole values, deltas, and</w:t>
            </w:r>
            <w:r>
              <w:t xml:space="preserve"> </w:t>
            </w:r>
            <w:r>
              <w:rPr>
                <w:rStyle w:val="VerbatimChar"/>
              </w:rPr>
              <w:t xml:space="preserve">INCREMENT</w:t>
            </w:r>
            <w:r>
              <w:t xml:space="preserve"> </w:t>
            </w:r>
            <w:r>
              <w:t xml:space="preserve">results fit</w:t>
            </w:r>
            <w:r>
              <w:t xml:space="preserve"> </w:t>
            </w:r>
            <w:r>
              <w:rPr>
                <w:rStyle w:val="VerbatimChar"/>
              </w:rPr>
              <w:t xml:space="preserve">-2^63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rPr>
                <w:rStyle w:val="VerbatimChar"/>
              </w:rPr>
              <w:t xml:space="preserve">2^63 - 1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Cosmos DB defines integer values as signed 64-bit, while DynamoDB can store larger exact decimals. Signed 64-bit is therefore the widest common integer domain and matches the Java</w:t>
            </w:r>
            <w:r>
              <w:t xml:space="preserve"> </w:t>
            </w:r>
            <w:r>
              <w:rPr>
                <w:rStyle w:val="VerbatimChar"/>
              </w:rPr>
              <w:t xml:space="preserve">long</w:t>
            </w:r>
            <w:r>
              <w:t xml:space="preserve"> </w:t>
            </w:r>
            <w:r>
              <w:t xml:space="preserve">returned by the portable API.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Cosmos DB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IS_INTEGER</w:t>
              </w:r>
            </w:hyperlink>
            <w:r>
              <w:t xml:space="preserve">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DynamoDB data types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Portable fractional domain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or a magnitude from</w:t>
            </w:r>
            <w:r>
              <w:t xml:space="preserve"> </w:t>
            </w:r>
            <w:r>
              <w:rPr>
                <w:rStyle w:val="VerbatimChar"/>
              </w:rPr>
              <w:t xml:space="preserve">1E-130</w:t>
            </w:r>
            <w:r>
              <w:t xml:space="preserve"> </w:t>
            </w:r>
            <w:r>
              <w:t xml:space="preserve">through about</w:t>
            </w:r>
            <w:r>
              <w:t xml:space="preserve"> </w:t>
            </w:r>
            <w:r>
              <w:rPr>
                <w:rStyle w:val="VerbatimChar"/>
              </w:rPr>
              <w:t xml:space="preserve">9.007E15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2^53 - 1</w:t>
            </w:r>
            <w:r>
              <w:t xml:space="preserve">, exactly</w:t>
            </w:r>
            <w:r>
              <w:t xml:space="preserve"> </w:t>
            </w:r>
            <w:r>
              <w:rPr>
                <w:rStyle w:val="VerbatimChar"/>
              </w:rPr>
              <w:t xml:space="preserve">9007199254740991</w:t>
            </w:r>
            <w:r>
              <w:t xml:space="preserve">), with no decimal loss when normalized to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DynamoDB rejects smaller non-zero magnitudes. The ceiling is the largest magnitude at which binary64 still has unit precision; the round-trip check rejects decimal values that normalization would change.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DynamoDB data types</w:t>
              </w:r>
            </w:hyperlink>
            <w:r>
              <w:t xml:space="preserve">;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Java floating-point types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Request envelope</w:t>
            </w:r>
            <w:r>
              <w:t xml:space="preserve"> </w:t>
            </w:r>
            <w:r>
              <w:t xml:space="preserve">— at most 399 KB (</w:t>
            </w:r>
            <w:r>
              <w:rPr>
                <w:rStyle w:val="VerbatimChar"/>
              </w:rPr>
              <w:t xml:space="preserve">408,576</w:t>
            </w:r>
            <w:r>
              <w:t xml:space="preserve"> </w:t>
            </w:r>
            <w:r>
              <w:t xml:space="preserve">bytes) serialized.</w:t>
            </w:r>
          </w:p>
        </w:tc>
        <w:tc>
          <w:tcPr/>
          <w:p>
            <w:pPr>
              <w:pStyle w:val="Compact"/>
            </w:pPr>
            <w:r>
              <w:t xml:space="preserve">DynamoDB’s 400 KB item limit is the lowest provider ceiling. The SDK reserves 1 KB for provider-injected fields and representation overhead, then applies the remaining 399 KB uniformly.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DynamoDB data types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Whole-number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INCREMENT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deltas</w:t>
            </w:r>
            <w:r>
              <w:t xml:space="preserve"> </w:t>
            </w:r>
            <w:r>
              <w:t xml:space="preserve">— a fractional delta is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DynamoDB adds in exact decimal, while Cosmos DB’s native increment follows binary64 arithmetic:</w:t>
            </w:r>
            <w:r>
              <w:t xml:space="preserve"> </w:t>
            </w:r>
            <w:r>
              <w:rPr>
                <w:rStyle w:val="VerbatimChar"/>
              </w:rPr>
              <w:t xml:space="preserve">0.1 + 0.2</w:t>
            </w:r>
            <w:r>
              <w:t xml:space="preserve"> </w:t>
            </w:r>
            <w:r>
              <w:t xml:space="preserve">can become</w:t>
            </w:r>
            <w:r>
              <w:t xml:space="preserve"> </w:t>
            </w:r>
            <w:r>
              <w:rPr>
                <w:rStyle w:val="VerbatimChar"/>
              </w:rPr>
              <w:t xml:space="preserve">0.3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0.30000000000000004</w:t>
            </w:r>
            <w:r>
              <w:t xml:space="preserve">. Rejecting fractional deltas avoids that divergence without a non-atomic read-modify-write. Fractional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values remain valid because they perform no arithmetic;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 </w:t>
            </w:r>
            <w:r>
              <w:t xml:space="preserve">normalizes to the whole number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Cosmos DB partial document update</w:t>
              </w:r>
            </w:hyperlink>
            <w:r>
              <w:t xml:space="preserve">;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DynamoDB update expressions</w:t>
              </w:r>
            </w:hyperlink>
            <w:r>
              <w:t xml:space="preserve">;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DynamoDB data types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patch on a TTL-bearing document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UNSUPPORTED_CAPABILITY</w:t>
            </w:r>
            <w:r>
              <w:t xml:space="preserve">, raised before mutation.</w:t>
            </w:r>
          </w:p>
        </w:tc>
        <w:tc>
          <w:tcPr/>
          <w:p>
            <w:pPr>
              <w:pStyle w:val="Compact"/>
            </w:pPr>
            <w:r>
              <w:t xml:space="preserve">Cosmos DB’s</w:t>
            </w:r>
            <w:r>
              <w:t xml:space="preserve"> </w:t>
            </w:r>
            <w:r>
              <w:rPr>
                <w:rStyle w:val="VerbatimChar"/>
              </w:rPr>
              <w:t xml:space="preserve">ttl</w:t>
            </w:r>
            <w:r>
              <w:t xml:space="preserve"> </w:t>
            </w:r>
            <w:r>
              <w:t xml:space="preserve">is relative to the last-write timestamp, so native patch restarts its countdown. DynamoDB’s</w:t>
            </w:r>
            <w:r>
              <w:t xml:space="preserve"> </w:t>
            </w:r>
            <w:r>
              <w:rPr>
                <w:rStyle w:val="VerbatimChar"/>
              </w:rPr>
              <w:t xml:space="preserve">ttlExpiry</w:t>
            </w:r>
            <w:r>
              <w:t xml:space="preserve"> </w:t>
            </w:r>
            <w:r>
              <w:t xml:space="preserve">is absolute and would remain unchanged. Both reject the patch so the same call cannot extend expiry on one provider and preserve it on the other. Use</w:t>
            </w:r>
            <w:r>
              <w:t xml:space="preserve"> </w:t>
            </w:r>
            <w:r>
              <w:rPr>
                <w:rStyle w:val="VerbatimChar"/>
              </w:rPr>
              <w:t xml:space="preserve">upsert(...)</w:t>
            </w:r>
            <w:r>
              <w:t xml:space="preserve"> </w:t>
            </w:r>
            <w:r>
              <w:t xml:space="preserve">instead.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Cosmos DB TTL</w:t>
              </w:r>
            </w:hyperlink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DynamoDB TTL</w:t>
              </w:r>
            </w:hyperlink>
          </w:p>
        </w:tc>
      </w:tr>
    </w:tbl>
    <w:p>
      <w:pPr>
        <w:pStyle w:val="BodyText"/>
      </w:pPr>
      <w:r>
        <w:t xml:space="preserve">Rules 7 and 8 apply recursively to values written by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t xml:space="preserve">including numbers nested inside an object or array operand. Rule 7 also bounds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delta and its result; rule 10 requires that delta to be a whole</w:t>
      </w:r>
      <w:r>
        <w:t xml:space="preserve"> </w:t>
      </w:r>
      <w:r>
        <w:t xml:space="preserve">number.</w:t>
      </w:r>
    </w:p>
    <w:bookmarkStart w:id="19" w:name="why-rules-7-and-8-are-separate"/>
    <w:p>
      <w:pPr>
        <w:pStyle w:val="Heading4"/>
      </w:pPr>
      <w:r>
        <w:t xml:space="preserve">Why rules 7 and 8 are separate</w:t>
      </w:r>
    </w:p>
    <w:p>
      <w:pPr>
        <w:pStyle w:val="FirstParagraph"/>
      </w:pPr>
      <w:r>
        <w:t xml:space="preserve">They look redundant — one caps at</w:t>
      </w:r>
      <w:r>
        <w:t xml:space="preserve"> </w:t>
      </w:r>
      <w:r>
        <w:rPr>
          <w:rStyle w:val="VerbatimChar"/>
        </w:rPr>
        <w:t xml:space="preserve">2^63 - 1</w:t>
      </w:r>
      <w:r>
        <w:t xml:space="preserve">, the other at</w:t>
      </w:r>
      <w:r>
        <w:t xml:space="preserve"> </w:t>
      </w:r>
      <w:r>
        <w:rPr>
          <w:rStyle w:val="VerbatimChar"/>
        </w:rPr>
        <w:t xml:space="preserve">2^53 - 1</w:t>
      </w:r>
      <w:r>
        <w:t xml:space="preserve"> </w:t>
      </w:r>
      <w:r>
        <w:t xml:space="preserve">— but they</w:t>
      </w:r>
      <w:r>
        <w:t xml:space="preserve"> </w:t>
      </w:r>
      <w:r>
        <w:t xml:space="preserve">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 7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what whole number can every provider store and return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unchanged?</w:t>
      </w:r>
      <w:r>
        <w:t xml:space="preserve"> </w:t>
      </w:r>
      <w:r>
        <w:t xml:space="preserve">The answer is the signed 64-bit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 8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what fractional magnitude remains within binary64’s unit</w:t>
      </w:r>
      <w:r>
        <w:rPr>
          <w:i/>
          <w:iCs/>
        </w:rPr>
        <w:t xml:space="preserve"> </w:t>
      </w:r>
      <w:r>
        <w:rPr>
          <w:i/>
          <w:iCs/>
        </w:rPr>
        <w:t xml:space="preserve">precision, before the per-value decimal round-trip check?</w:t>
      </w:r>
      <w:r>
        <w:t xml:space="preserve"> </w:t>
      </w:r>
      <w:r>
        <w:t xml:space="preserve">The answer is</w:t>
      </w:r>
      <w:r>
        <w:t xml:space="preserve"> </w:t>
      </w:r>
      <w:r>
        <w:rPr>
          <w:rStyle w:val="VerbatimChar"/>
        </w:rPr>
        <w:t xml:space="preserve">2^53 - 1</w:t>
      </w:r>
      <w:r>
        <w:t xml:space="preserve">.</w:t>
      </w:r>
    </w:p>
    <w:p>
      <w:pPr>
        <w:pStyle w:val="FirstParagraph"/>
      </w:pPr>
      <w:r>
        <w:t xml:space="preserve">Merging them either way is worse. Widening rule 8 to</w:t>
      </w:r>
      <w:r>
        <w:t xml:space="preserve"> </w:t>
      </w:r>
      <w:r>
        <w:rPr>
          <w:rStyle w:val="VerbatimChar"/>
        </w:rPr>
        <w:t xml:space="preserve">2^63 - 1</w:t>
      </w:r>
      <w:r>
        <w:t xml:space="preserve"> </w:t>
      </w:r>
      <w:r>
        <w:t xml:space="preserve">would admit</w:t>
      </w:r>
      <w:r>
        <w:t xml:space="preserve"> </w:t>
      </w:r>
      <w:r>
        <w:t xml:space="preserve">fractional values that Cosmos DB and DynamoDB round differently. Narrowing rule</w:t>
      </w:r>
      <w:r>
        <w:t xml:space="preserve"> </w:t>
      </w:r>
      <w:r>
        <w:t xml:space="preserve">7 to</w:t>
      </w:r>
      <w:r>
        <w:t xml:space="preserve"> </w:t>
      </w:r>
      <w:r>
        <w:rPr>
          <w:rStyle w:val="VerbatimChar"/>
        </w:rPr>
        <w:t xml:space="preserve">2^53 - 1</w:t>
      </w:r>
      <w:r>
        <w:t xml:space="preserve"> </w:t>
      </w:r>
      <w:r>
        <w:t xml:space="preserve">would reject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values that already round-trip perfectly on</w:t>
      </w:r>
      <w:r>
        <w:t xml:space="preserve"> </w:t>
      </w:r>
      <w:r>
        <w:t xml:space="preserve">both providers, for no portability gain.</w:t>
      </w:r>
    </w:p>
    <w:p>
      <w:pPr>
        <w:pStyle w:val="BodyText"/>
      </w:pPr>
      <w:r>
        <w:t xml:space="preserve">Rule 10 keeps the split simple for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: because a delta must be a whole</w:t>
      </w:r>
      <w:r>
        <w:t xml:space="preserve"> </w:t>
      </w:r>
      <w:r>
        <w:t xml:space="preserve">number, only rule 7 governs it, bounding both the delta and the result. Rule 8</w:t>
      </w:r>
      <w:r>
        <w:t xml:space="preserve"> </w:t>
      </w:r>
      <w:r>
        <w:t xml:space="preserve">applies to values written by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where no provider arithmetic</w:t>
      </w:r>
      <w:r>
        <w:t xml:space="preserve"> </w:t>
      </w:r>
      <w:r>
        <w:t xml:space="preserve">is involved.</w:t>
      </w:r>
    </w:p>
    <w:bookmarkEnd w:id="19"/>
    <w:bookmarkStart w:id="20" w:name="how-the-399-kb-envelope-is-derived"/>
    <w:p>
      <w:pPr>
        <w:pStyle w:val="Heading4"/>
      </w:pPr>
      <w:r>
        <w:t xml:space="preserve">How the 399 KB envelope is derived</w:t>
      </w:r>
    </w:p>
    <w:p>
      <w:pPr>
        <w:pStyle w:val="FirstParagraph"/>
      </w:pPr>
      <w:r>
        <w:t xml:space="preserve">The size calculation is</w:t>
      </w:r>
      <w:r>
        <w:t xml:space="preserve"> </w:t>
      </w:r>
      <w:r>
        <w:rPr>
          <w:rStyle w:val="VerbatimChar"/>
        </w:rPr>
        <w:t xml:space="preserve">400 * 1024 - 1 * 1024 = 408,576</w:t>
      </w:r>
      <w:r>
        <w:t xml:space="preserve"> </w:t>
      </w:r>
      <w:r>
        <w:t xml:space="preserve">bytes: DynamoDB’s</w:t>
      </w:r>
      <w:r>
        <w:t xml:space="preserve"> </w:t>
      </w:r>
      <w:r>
        <w:t xml:space="preserve">400 KB item limit, less 1 KB reserved for provider-injected fields and</w:t>
      </w:r>
      <w:r>
        <w:t xml:space="preserve"> </w:t>
      </w:r>
      <w:r>
        <w:t xml:space="preserve">representation overhead.</w:t>
      </w:r>
    </w:p>
    <w:p>
      <w:pPr>
        <w:pStyle w:val="BodyText"/>
      </w:pPr>
      <w:r>
        <w:t xml:space="preserve">For PATCH, the 399 KB check measures each operation’s type, path, and optional</w:t>
      </w:r>
      <w:r>
        <w:t xml:space="preserve"> </w:t>
      </w:r>
      <w:r>
        <w:t xml:space="preserve">value; a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still contributes its type and path. It bounds the request,</w:t>
      </w:r>
      <w:r>
        <w:t xml:space="preserve"> </w:t>
      </w:r>
      <w:r>
        <w:t xml:space="preserve">not the resulting document. A patch can still be rejected if its post-image</w:t>
      </w:r>
      <w:r>
        <w:t xml:space="preserve"> </w:t>
      </w:r>
      <w:r>
        <w:t xml:space="preserve">exceeds a provider’s native item limit.</w:t>
      </w:r>
    </w:p>
    <w:bookmarkEnd w:id="20"/>
    <w:bookmarkStart w:id="21" w:name="what-these-rules-do-not-cover"/>
    <w:p>
      <w:pPr>
        <w:pStyle w:val="Heading4"/>
      </w:pPr>
      <w:r>
        <w:t xml:space="preserve">What these rules do not cover</w:t>
      </w:r>
    </w:p>
    <w:p>
      <w:pPr>
        <w:pStyle w:val="FirstParagraph"/>
      </w:pPr>
      <w:r>
        <w:t xml:space="preserve">Rule 10 removes the divergence the SDK can see: it inspects the delta, and a</w:t>
      </w:r>
      <w:r>
        <w:t xml:space="preserve"> </w:t>
      </w:r>
      <w:r>
        <w:t xml:space="preserve">fractional delta is rejected. It cannot remove the divergence that depends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value, because the SDK never reads that value — reading it is</w:t>
      </w:r>
      <w:r>
        <w:t xml:space="preserve"> </w:t>
      </w:r>
      <w:r>
        <w:t xml:space="preserve">exactly what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exists to avoid.</w:t>
      </w:r>
    </w:p>
    <w:p>
      <w:pPr>
        <w:pStyle w:val="BodyText"/>
      </w:pPr>
      <w:r>
        <w:t xml:space="preserve">So one case remains. If a field already holds a fractional number and you add a</w:t>
      </w:r>
      <w:r>
        <w:t xml:space="preserve"> </w:t>
      </w:r>
      <w:r>
        <w:t xml:space="preserve">whole-number delta, the two providers can still land one ulp apart: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0.7383633795947941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)));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  <w:tc>
          <w:tcPr/>
          <w:p>
            <w:pPr>
              <w:pStyle w:val="Compact"/>
            </w:pPr>
            <w:r>
              <w:t xml:space="preserve">Result read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exact decimal:</w:t>
            </w:r>
            <w:r>
              <w:t xml:space="preserve"> </w:t>
            </w:r>
            <w:r>
              <w:rPr>
                <w:rStyle w:val="VerbatimChar"/>
              </w:rPr>
              <w:t xml:space="preserve">0.7383633795947941 + 3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3.7383633795947941</w:t>
            </w:r>
            <w:r>
              <w:t xml:space="preserve">, parsed back into a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3.738363379594794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binary64:</w:t>
            </w:r>
            <w:r>
              <w:t xml:space="preserve"> </w:t>
            </w:r>
            <w:r>
              <w:rPr>
                <w:rStyle w:val="VerbatimChar"/>
              </w:rPr>
              <w:t xml:space="preserve">double(0.7383633795947941) + 3</w:t>
            </w:r>
            <w:r>
              <w:t xml:space="preserve">, rounded once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3.7383633795947944</w:t>
            </w:r>
          </w:p>
        </w:tc>
      </w:tr>
    </w:tbl>
    <w:p>
      <w:pPr>
        <w:pStyle w:val="BodyText"/>
      </w:pPr>
      <w:r>
        <w:t xml:space="preserve">The value needs enough significant digits to use most of the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mantissa</w:t>
      </w:r>
      <w:r>
        <w:t xml:space="preserve"> </w:t>
      </w:r>
      <w:r>
        <w:t xml:space="preserve">before this shows up —</w:t>
      </w:r>
      <w:r>
        <w:t xml:space="preserve"> </w:t>
      </w:r>
      <w:r>
        <w:rPr>
          <w:rStyle w:val="VerbatimChar"/>
        </w:rPr>
        <w:t xml:space="preserve">0.1 + 3</w:t>
      </w:r>
      <w:r>
        <w:t xml:space="preserve"> </w:t>
      </w:r>
      <w:r>
        <w:t xml:space="preserve">is identical on both. Closing it would require</w:t>
      </w:r>
      <w:r>
        <w:t xml:space="preserve"> </w:t>
      </w:r>
      <w:r>
        <w:t xml:space="preserve">reading the current value and computing the sum client-side, which forfeits</w:t>
      </w:r>
      <w:r>
        <w:t xml:space="preserve"> </w:t>
      </w:r>
      <w:r>
        <w:t xml:space="preserve">atomicity and reintroduces the lost-update race that rule 10’s own justification</w:t>
      </w:r>
      <w:r>
        <w:t xml:space="preserve"> </w:t>
      </w:r>
      <w:r>
        <w:t xml:space="preserve">rules out. Trading a guaranteed correctness property for a last-digit</w:t>
      </w:r>
      <w:r>
        <w:t xml:space="preserve"> </w:t>
      </w:r>
      <w:r>
        <w:t xml:space="preserve">representation detail is the wrong trade, so the SDK keeps atomicity.</w:t>
      </w:r>
    </w:p>
    <w:p>
      <w:pPr>
        <w:pStyle w:val="BodyText"/>
      </w:pPr>
      <w:r>
        <w:t xml:space="preserve">The portable guidance is the same as for rule 10:</w:t>
      </w:r>
      <w:r>
        <w:t xml:space="preserve"> </w:t>
      </w:r>
      <w:r>
        <w:rPr>
          <w:b/>
          <w:bCs/>
        </w:rPr>
        <w:t xml:space="preserve">if the exact digits matter,</w:t>
      </w:r>
      <w:r>
        <w:rPr>
          <w:b/>
          <w:bCs/>
        </w:rPr>
        <w:t xml:space="preserve"> </w:t>
      </w:r>
      <w:r>
        <w:rPr>
          <w:b/>
          <w:bCs/>
        </w:rPr>
        <w:t xml:space="preserve">do not store the quantity as a fraction.</w:t>
      </w:r>
      <w:r>
        <w:t xml:space="preserve"> </w:t>
      </w:r>
      <w:r>
        <w:t xml:space="preserve">Use integral minor units — hold</w:t>
      </w:r>
      <w:r>
        <w:t xml:space="preserve"> </w:t>
      </w:r>
      <w:r>
        <w:rPr>
          <w:rStyle w:val="VerbatimChar"/>
        </w:rPr>
        <w:t xml:space="preserve">/balanceCents</w:t>
      </w:r>
      <w:r>
        <w:t xml:space="preserve"> </w:t>
      </w:r>
      <w:r>
        <w:t xml:space="preserve">and increment by</w:t>
      </w:r>
      <w:r>
        <w:t xml:space="preserve"> </w:t>
      </w:r>
      <w:r>
        <w:rPr>
          <w:rStyle w:val="VerbatimChar"/>
        </w:rPr>
        <w:t xml:space="preserve">20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/balance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0.20</w:t>
      </w:r>
      <w:r>
        <w:t xml:space="preserve"> </w:t>
      </w:r>
      <w:r>
        <w:t xml:space="preserve">— and rules 7</w:t>
      </w:r>
      <w:r>
        <w:t xml:space="preserve"> </w:t>
      </w:r>
      <w:r>
        <w:t xml:space="preserve">and 10 then guarantee an identical result on every provider.</w:t>
      </w:r>
    </w:p>
    <w:p>
      <w:pPr>
        <w:pStyle w:val="BodyText"/>
      </w:pPr>
      <w:r>
        <w:rPr>
          <w:rStyle w:val="VerbatimChar"/>
        </w:rPr>
        <w:t xml:space="preserve">OperationOptions.ttlSeconds()</w:t>
      </w:r>
      <w:r>
        <w:t xml:space="preserve"> </w:t>
      </w:r>
      <w:r>
        <w:t xml:space="preserve">is ignored. PATCH never creates or resets an</w:t>
      </w:r>
      <w:r>
        <w:t xml:space="preserve"> </w:t>
      </w:r>
      <w:r>
        <w:t xml:space="preserve">expiry, and by rule 11 it refuses to touch a document that already has one.</w:t>
      </w:r>
    </w:p>
    <w:bookmarkEnd w:id="21"/>
    <w:bookmarkEnd w:id="22"/>
    <w:bookmarkEnd w:id="23"/>
    <w:bookmarkStart w:id="32" w:name="workflows"/>
    <w:p>
      <w:pPr>
        <w:pStyle w:val="Heading2"/>
      </w:pPr>
      <w:r>
        <w:t xml:space="preserve">3. Workflows</w:t>
      </w:r>
    </w:p>
    <w:p>
      <w:pPr>
        <w:pStyle w:val="FirstParagraph"/>
      </w:pPr>
      <w:r>
        <w:t xml:space="preserve">The success and failure paths are shown separately because they have different</w:t>
      </w:r>
      <w:r>
        <w:t xml:space="preserve"> </w:t>
      </w:r>
      <w:r>
        <w:t xml:space="preserve">behavior and cost. A successful PATCH sends one native write and performs no</w:t>
      </w:r>
      <w:r>
        <w:t xml:space="preserve"> </w:t>
      </w:r>
      <w:r>
        <w:t xml:space="preserve">read. Rejected writes may need provider-specific evidence before the SDK can</w:t>
      </w:r>
      <w:r>
        <w:t xml:space="preserve"> </w:t>
      </w:r>
      <w:r>
        <w:t xml:space="preserve">choose the portable error.</w:t>
      </w:r>
    </w:p>
    <w:p>
      <w:pPr>
        <w:pStyle w:val="BodyText"/>
      </w:pPr>
      <w:r>
        <w:t xml:space="preserve">Every terminal error in Figure 2 is a</w:t>
      </w:r>
      <w:r>
        <w:t xml:space="preserve"> </w:t>
      </w:r>
      <w:r>
        <w:rPr>
          <w:rStyle w:val="VerbatimChar"/>
        </w:rPr>
        <w:t xml:space="preserve">MulticloudDbException</w:t>
      </w:r>
      <w:r>
        <w:t xml:space="preserve">. Application code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exception.error().category()</w:t>
      </w:r>
      <w:r>
        <w:t xml:space="preserve"> </w:t>
      </w:r>
      <w:r>
        <w:t xml:space="preserve">rather than catching provider SDK</w:t>
      </w:r>
      <w:r>
        <w:t xml:space="preserve"> </w:t>
      </w:r>
      <w:r>
        <w:t xml:space="preserve">exceptions.</w:t>
      </w:r>
    </w:p>
    <w:bookmarkStart w:id="27" w:name="request-workflow"/>
    <w:p>
      <w:pPr>
        <w:pStyle w:val="Heading3"/>
      </w:pPr>
      <w:r>
        <w:t xml:space="preserve">Request workflow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Portable PATCH request workflow" title="" id="25" name="Picture"/>
            <a:graphic>
              <a:graphicData uri="http://schemas.openxmlformats.org/drawingml/2006/picture">
                <pic:pic>
                  <pic:nvPicPr>
                    <pic:cNvPr descr="images/patch-request-work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Portable PATCH request workflow</w:t>
      </w:r>
    </w:p>
    <w:p>
      <w:pPr>
        <w:pStyle w:val="BodyText"/>
      </w:pPr>
      <w:r>
        <w:rPr>
          <w:i/>
          <w:iCs/>
        </w:rPr>
        <w:t xml:space="preserve">Figure 1. On an adapter that implements PATCH the gates run in this order:</w:t>
      </w:r>
      <w:r>
        <w:rPr>
          <w:i/>
          <w:iCs/>
        </w:rPr>
        <w:t xml:space="preserve"> </w:t>
      </w:r>
      <w:r>
        <w:rPr>
          <w:i/>
          <w:iCs/>
        </w:rPr>
        <w:t xml:space="preserve">client state, then portable validation, then capability. Cosmos DB and</w:t>
      </w:r>
      <w:r>
        <w:rPr>
          <w:i/>
          <w:iCs/>
        </w:rPr>
        <w:t xml:space="preserve"> </w:t>
      </w:r>
      <w:r>
        <w:rPr>
          <w:i/>
          <w:iCs/>
        </w:rPr>
        <w:t xml:space="preserve">DynamoDB each receive one atomic native write carrying the complete operation</w:t>
      </w:r>
      <w:r>
        <w:rPr>
          <w:i/>
          <w:iCs/>
        </w:rPr>
        <w:t xml:space="preserve"> </w:t>
      </w:r>
      <w:r>
        <w:rPr>
          <w:i/>
          <w:iCs/>
        </w:rPr>
        <w:t xml:space="preserve">list. Rule 11 is absent from the pre-dispatch box because it depends on stored</w:t>
      </w:r>
      <w:r>
        <w:rPr>
          <w:i/>
          <w:iCs/>
        </w:rPr>
        <w:t xml:space="preserve"> </w:t>
      </w:r>
      <w:r>
        <w:rPr>
          <w:i/>
          <w:iCs/>
        </w:rPr>
        <w:t xml:space="preserve">state and is enforced by the native condition. Native rejections continue to</w:t>
      </w:r>
      <w:r>
        <w:rPr>
          <w:i/>
          <w:iCs/>
        </w:rPr>
        <w:t xml:space="preserve"> </w:t>
      </w:r>
      <w:r>
        <w:rPr>
          <w:i/>
          <w:iCs/>
        </w:rPr>
        <w:t xml:space="preserve">Figure 2.</w:t>
      </w:r>
    </w:p>
    <w:bookmarkEnd w:id="27"/>
    <w:bookmarkStart w:id="31" w:name="exception-propagation-workflow"/>
    <w:p>
      <w:pPr>
        <w:pStyle w:val="Heading3"/>
      </w:pPr>
      <w:r>
        <w:t xml:space="preserve">Exception propagation workflow</w:t>
      </w:r>
    </w:p>
    <w:p>
      <w:pPr>
        <w:pStyle w:val="CaptionedFigure"/>
      </w:pPr>
      <w:r>
        <w:drawing>
          <wp:inline>
            <wp:extent cx="5334000" cy="4400550"/>
            <wp:effectExtent b="0" l="0" r="0" t="0"/>
            <wp:docPr descr="Portable PATCH exception propagation workflow" title="" id="29" name="Picture"/>
            <a:graphic>
              <a:graphicData uri="http://schemas.openxmlformats.org/drawingml/2006/picture">
                <pic:pic>
                  <pic:nvPicPr>
                    <pic:cNvPr descr="images/patch-rejection-work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Portable PATCH exception propagation workflow</w:t>
      </w:r>
    </w:p>
    <w:p>
      <w:pPr>
        <w:pStyle w:val="BodyText"/>
      </w:pPr>
      <w:r>
        <w:rPr>
          <w:i/>
          <w:iCs/>
        </w:rPr>
        <w:t xml:space="preserve">Figure 2. A provider exception is never returned directly to application code.</w:t>
      </w:r>
      <w:r>
        <w:rPr>
          <w:i/>
          <w:iCs/>
        </w:rPr>
        <w:t xml:space="preserve"> </w:t>
      </w:r>
      <w:r>
        <w:rPr>
          <w:i/>
          <w:iCs/>
        </w:rPr>
        <w:t xml:space="preserve">The adapter inspects the native response and any rejection evidence,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constructs a structured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MulticloudDbError</w:t>
      </w:r>
      <w:r>
        <w:rPr>
          <w:i/>
          <w:iCs/>
        </w:rPr>
        <w:t xml:space="preserve"> </w:t>
      </w:r>
      <w:r>
        <w:rPr>
          <w:i/>
          <w:iCs/>
        </w:rPr>
        <w:t xml:space="preserve">— including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retryable</w:t>
      </w:r>
      <w:r>
        <w:rPr>
          <w:i/>
          <w:iCs/>
        </w:rPr>
        <w:t xml:space="preserve"> </w:t>
      </w:r>
      <w:r>
        <w:rPr>
          <w:i/>
          <w:iCs/>
        </w:rPr>
        <w:t xml:space="preserve">hint,</w:t>
      </w:r>
      <w:r>
        <w:rPr>
          <w:i/>
          <w:iCs/>
        </w:rPr>
        <w:t xml:space="preserve"> </w:t>
      </w:r>
      <w:r>
        <w:rPr>
          <w:i/>
          <w:iCs/>
        </w:rPr>
        <w:t xml:space="preserve">which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CONFLICT</w:t>
      </w:r>
      <w:r>
        <w:rPr>
          <w:i/>
          <w:iCs/>
        </w:rPr>
        <w:t xml:space="preserve"> </w:t>
      </w:r>
      <w:r>
        <w:rPr>
          <w:i/>
          <w:iCs/>
        </w:rPr>
        <w:t xml:space="preserve">only — and throws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MulticloudDbException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back</w:t>
      </w:r>
      <w:r>
        <w:rPr>
          <w:i/>
          <w:iCs/>
        </w:rPr>
        <w:t xml:space="preserve"> </w:t>
      </w:r>
      <w:r>
        <w:rPr>
          <w:i/>
          <w:iCs/>
        </w:rPr>
        <w:t xml:space="preserve">to the caller. Pre-dispatch rejections join the same path with no native</w:t>
      </w:r>
      <w:r>
        <w:rPr>
          <w:i/>
          <w:iCs/>
        </w:rPr>
        <w:t xml:space="preserve"> </w:t>
      </w:r>
      <w:r>
        <w:rPr>
          <w:i/>
          <w:iCs/>
        </w:rPr>
        <w:t xml:space="preserve">cause.</w:t>
      </w:r>
    </w:p>
    <w:p>
      <w:pPr>
        <w:pStyle w:val="BodyText"/>
      </w:pPr>
      <w:r>
        <w:t xml:space="preserve">Before provider I/O, a portable-rule violation produces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 </w:t>
      </w:r>
      <w:r>
        <w:t xml:space="preserve">and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NESTED_PATCH</w:t>
      </w:r>
      <w:r>
        <w:t xml:space="preserve"> </w:t>
      </w:r>
      <w:r>
        <w:t xml:space="preserve">capability produces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.</w:t>
      </w:r>
      <w:r>
        <w:t xml:space="preserve"> </w:t>
      </w:r>
      <w:r>
        <w:t xml:space="preserve">Which one a caller sees when both apply depends on where PATCH is refused: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 an adapter that implements PATCH</w:t>
      </w:r>
      <w:r>
        <w:t xml:space="preserve"> </w:t>
      </w:r>
      <w:r>
        <w:t xml:space="preserve">(Cosmos DB, DynamoDB), shared</w:t>
      </w:r>
      <w:r>
        <w:t xml:space="preserve"> </w:t>
      </w:r>
      <w:r>
        <w:t xml:space="preserve">validation runs first and the capability gate second. A request that both</w:t>
      </w:r>
      <w:r>
        <w:t xml:space="preserve"> </w:t>
      </w:r>
      <w:r>
        <w:t xml:space="preserve">breaks a portable rule and uses a nested path the provider does not declare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 a provider that does not implement PATCH</w:t>
      </w:r>
      <w:r>
        <w:t xml:space="preserve"> </w:t>
      </w:r>
      <w:r>
        <w:t xml:space="preserve">(Spanner), the inherited SPI</w:t>
      </w:r>
      <w:r>
        <w:t xml:space="preserve"> </w:t>
      </w:r>
      <w:r>
        <w:t xml:space="preserve">default rejects immediately and never runs shared validation, so even an</w:t>
      </w:r>
      <w:r>
        <w:t xml:space="preserve"> </w:t>
      </w:r>
      <w:r>
        <w:t xml:space="preserve">invalid operation list reports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. The portable answer</w:t>
      </w:r>
      <w:r>
        <w:t xml:space="preserve"> </w:t>
      </w:r>
      <w:r>
        <w:t xml:space="preserve">“this provider cannot patch”</w:t>
      </w:r>
      <w:r>
        <w:t xml:space="preserve"> </w:t>
      </w:r>
      <w:r>
        <w:t xml:space="preserve">does not depend on the request being well</w:t>
      </w:r>
      <w:r>
        <w:t xml:space="preserve"> </w:t>
      </w:r>
      <w:r>
        <w:t xml:space="preserve">formed.</w:t>
      </w:r>
    </w:p>
    <w:p>
      <w:pPr>
        <w:pStyle w:val="FirstParagraph"/>
      </w:pPr>
      <w:r>
        <w:t xml:space="preserve">No provider request was sent in either case, so the resulting</w:t>
      </w:r>
      <w:r>
        <w:t xml:space="preserve"> </w:t>
      </w:r>
      <w:r>
        <w:rPr>
          <w:rStyle w:val="VerbatimChar"/>
        </w:rPr>
        <w:t xml:space="preserve">MulticloudDbException</w:t>
      </w:r>
      <w:r>
        <w:t xml:space="preserve"> </w:t>
      </w:r>
      <w:r>
        <w:t xml:space="preserve">has no provider exception as its cause.</w:t>
      </w:r>
    </w:p>
    <w:bookmarkEnd w:id="31"/>
    <w:bookmarkEnd w:id="32"/>
    <w:bookmarkStart w:id="34" w:name="cosmos-db"/>
    <w:p>
      <w:pPr>
        <w:pStyle w:val="Heading2"/>
      </w:pPr>
      <w:r>
        <w:t xml:space="preserve">4. Cosmos DB</w:t>
      </w:r>
    </w:p>
    <w:p>
      <w:pPr>
        <w:pStyle w:val="FirstParagraph"/>
      </w:pPr>
      <w:r>
        <w:t xml:space="preserve">Figure 1 shows the request path; Figure 2 expands every failure branch. The</w:t>
      </w:r>
      <w:r>
        <w:t xml:space="preserve"> </w:t>
      </w:r>
      <w:r>
        <w:t xml:space="preserve">Cosmos adapter translates the operation list into</w:t>
      </w:r>
      <w:r>
        <w:t xml:space="preserve"> </w:t>
      </w:r>
      <w:r>
        <w:rPr>
          <w:rStyle w:val="VerbatimChar"/>
        </w:rPr>
        <w:t xml:space="preserve">CosmosPatchOperations</w:t>
      </w:r>
      <w:r>
        <w:t xml:space="preserve"> </w:t>
      </w:r>
      <w:r>
        <w:t xml:space="preserve">and</w:t>
      </w:r>
      <w:r>
        <w:t xml:space="preserve"> </w:t>
      </w:r>
      <w:r>
        <w:t xml:space="preserve">attaches one server-side filter predicate to one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 </w:t>
      </w:r>
      <w:r>
        <w:t xml:space="preserve">request. The</w:t>
      </w:r>
      <w:r>
        <w:t xml:space="preserve"> </w:t>
      </w:r>
      <w:r>
        <w:t xml:space="preserve">predicate atomically checks required paths and nested parents, numeric</w:t>
      </w:r>
      <w:r>
        <w:t xml:space="preserve"> </w:t>
      </w:r>
      <w:r>
        <w:t xml:space="preserve">increment targets, signed-64-bit increment-result bounds, and absence of</w:t>
      </w:r>
      <w:r>
        <w:t xml:space="preserve"> </w:t>
      </w:r>
      <w:r>
        <w:t xml:space="preserve">SDK-managed</w:t>
      </w:r>
      <w:r>
        <w:t xml:space="preserve"> </w:t>
      </w:r>
      <w:r>
        <w:rPr>
          <w:rStyle w:val="VerbatimChar"/>
        </w:rPr>
        <w:t xml:space="preserve">ttl</w:t>
      </w:r>
      <w:r>
        <w:t xml:space="preserve">.</w:t>
      </w:r>
    </w:p>
    <w:p>
      <w:pPr>
        <w:pStyle w:val="BodyText"/>
      </w:pPr>
      <w:r>
        <w:t xml:space="preserve">A successful PATCH performs one write and no read. It does not use an</w:t>
      </w:r>
      <w:r>
        <w:t xml:space="preserve"> </w:t>
      </w:r>
      <w:r>
        <w:t xml:space="preserve">item-wide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ETag; the path-scoped predicate allows concurrent updates</w:t>
      </w:r>
      <w:r>
        <w:t xml:space="preserve"> </w:t>
      </w:r>
      <w:r>
        <w:t xml:space="preserve">to unrelated fields.</w:t>
      </w:r>
    </w:p>
    <w:p>
      <w:pPr>
        <w:pStyle w:val="BodyText"/>
      </w:pPr>
      <w:r>
        <w:t xml:space="preserve">Cosmos may return HTTP 412 or an untyped HTTP 400 when the predicate rejects.</w:t>
      </w:r>
      <w:r>
        <w:t xml:space="preserve"> </w:t>
      </w:r>
      <w:r>
        <w:t xml:space="preserve">The adapter then performs a session-token point read and maps the observed</w:t>
      </w:r>
      <w:r>
        <w:t xml:space="preserve"> </w:t>
      </w:r>
      <w:r>
        <w:t xml:space="preserve">state to the exceptions in Figure 2. Cosmos native increment would use</w:t>
      </w:r>
      <w:r>
        <w:t xml:space="preserve"> </w:t>
      </w:r>
      <w:r>
        <w:t xml:space="preserve">binary64 arithmetic, and native patch advances</w:t>
      </w:r>
      <w:r>
        <w:t xml:space="preserve"> </w:t>
      </w:r>
      <w:r>
        <w:rPr>
          <w:rStyle w:val="VerbatimChar"/>
        </w:rPr>
        <w:t xml:space="preserve">_ts</w:t>
      </w:r>
      <w:r>
        <w:t xml:space="preserve">, so rules 10 and 11 reject</w:t>
      </w:r>
      <w:r>
        <w:t xml:space="preserve"> </w:t>
      </w:r>
      <w:r>
        <w:t xml:space="preserve">the two divergent cases before mutation.</w:t>
      </w:r>
    </w:p>
    <w:bookmarkStart w:id="33" w:name="error-classification"/>
    <w:p>
      <w:pPr>
        <w:pStyle w:val="Heading3"/>
      </w:pPr>
      <w:r>
        <w:t xml:space="preserve">Error classification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NOT_FOUND</w:t>
      </w:r>
      <w:r>
        <w:t xml:space="preserve"> </w:t>
      </w:r>
      <w:r>
        <w:t xml:space="preserve">— Cosmos returned HTTP 404 directly, or the classification read</w:t>
      </w:r>
      <w:r>
        <w:t xml:space="preserve"> </w:t>
      </w:r>
      <w:r>
        <w:t xml:space="preserve">shows that the document, required field, or required nested parent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UNSUPPORTED_CAPABILITY</w:t>
      </w:r>
      <w:r>
        <w:t xml:space="preserve"> </w:t>
      </w:r>
      <w:r>
        <w:t xml:space="preserve">— the classification read finds SDK-managed</w:t>
      </w:r>
      <w:r>
        <w:t xml:space="preserve"> </w:t>
      </w:r>
      <w:r>
        <w:rPr>
          <w:rStyle w:val="VerbatimChar"/>
        </w:rPr>
        <w:t xml:space="preserve">ttl</w:t>
      </w:r>
      <w:r>
        <w:t xml:space="preserve">.</w:t>
      </w:r>
      <w:r>
        <w:t xml:space="preserve"> </w:t>
      </w:r>
      <w:r>
        <w:t xml:space="preserve">Native patch would advance</w:t>
      </w:r>
      <w:r>
        <w:t xml:space="preserve"> </w:t>
      </w:r>
      <w:r>
        <w:rPr>
          <w:rStyle w:val="VerbatimChar"/>
        </w:rPr>
        <w:t xml:space="preserve">_ts</w:t>
      </w:r>
      <w:r>
        <w:t xml:space="preserve"> </w:t>
      </w:r>
      <w:r>
        <w:t xml:space="preserve">and restart the relative expiry.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INVALID_REQUEST</w:t>
      </w:r>
      <w:r>
        <w:t xml:space="preserve"> </w:t>
      </w:r>
      <w:r>
        <w:t xml:space="preserve">— the target is nonnumeric, an integral result would</w:t>
      </w:r>
      <w:r>
        <w:t xml:space="preserve"> </w:t>
      </w:r>
      <w:r>
        <w:t xml:space="preserve">overflow signed 64-bit, or an untyped HTTP 400 cannot be classified more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CONFLICT</w:t>
      </w:r>
      <w:r>
        <w:t xml:space="preserve"> </w:t>
      </w:r>
      <w:r>
        <w:t xml:space="preserve">— HTTP 412 rejected the predicate, but current state satisfies</w:t>
      </w:r>
      <w:r>
        <w:t xml:space="preserve"> </w:t>
      </w:r>
      <w:r>
        <w:t xml:space="preserve">every portable precondition or the classification read failed. The original</w:t>
      </w:r>
      <w:r>
        <w:t xml:space="preserve"> </w:t>
      </w:r>
      <w:r>
        <w:t xml:space="preserve">cause can no longer be proved after a concurrent transition.</w:t>
      </w:r>
    </w:p>
    <w:p>
      <w:pPr>
        <w:pStyle w:val="FirstParagraph"/>
      </w:pPr>
      <w:r>
        <w:t xml:space="preserve">When provider I/O occurred, the resulting</w:t>
      </w:r>
      <w:r>
        <w:t xml:space="preserve"> </w:t>
      </w:r>
      <w:r>
        <w:rPr>
          <w:rStyle w:val="VerbatimChar"/>
        </w:rPr>
        <w:t xml:space="preserve">MulticloudDbException</w:t>
      </w:r>
      <w:r>
        <w:t xml:space="preserve"> </w:t>
      </w:r>
      <w:r>
        <w:t xml:space="preserve">retains the</w:t>
      </w:r>
      <w:r>
        <w:t xml:space="preserve"> </w:t>
      </w:r>
      <w:r>
        <w:t xml:space="preserve">original</w:t>
      </w:r>
      <w:r>
        <w:t xml:space="preserve"> </w:t>
      </w:r>
      <w:r>
        <w:rPr>
          <w:rStyle w:val="VerbatimChar"/>
        </w:rPr>
        <w:t xml:space="preserve">CosmosException</w:t>
      </w:r>
      <w:r>
        <w:t xml:space="preserve"> </w:t>
      </w:r>
      <w:r>
        <w:t xml:space="preserve">as its cause and copies the native status and request</w:t>
      </w:r>
      <w:r>
        <w:t xml:space="preserve"> </w:t>
      </w:r>
      <w:r>
        <w:t xml:space="preserve">diagnostics into</w:t>
      </w:r>
      <w:r>
        <w:t xml:space="preserve"> </w:t>
      </w:r>
      <w:r>
        <w:rPr>
          <w:rStyle w:val="VerbatimChar"/>
        </w:rPr>
        <w:t xml:space="preserve">MulticloudDbError</w:t>
      </w:r>
      <w:r>
        <w:t xml:space="preserve">.</w:t>
      </w:r>
    </w:p>
    <w:bookmarkEnd w:id="33"/>
    <w:bookmarkEnd w:id="34"/>
    <w:bookmarkStart w:id="36" w:name="dynamodb"/>
    <w:p>
      <w:pPr>
        <w:pStyle w:val="Heading2"/>
      </w:pPr>
      <w:r>
        <w:t xml:space="preserve">5. DynamoDB</w:t>
      </w:r>
    </w:p>
    <w:p>
      <w:pPr>
        <w:pStyle w:val="FirstParagraph"/>
      </w:pPr>
      <w:r>
        <w:t xml:space="preserve">Figures 1 and 2 show the DynamoDB request and failure paths. The adapter</w:t>
      </w:r>
      <w:r>
        <w:t xml:space="preserve"> </w:t>
      </w:r>
      <w:r>
        <w:t xml:space="preserve">compiles the operation list into one</w:t>
      </w:r>
      <w:r>
        <w:t xml:space="preserve"> </w:t>
      </w:r>
      <w:r>
        <w:rPr>
          <w:rStyle w:val="VerbatimChar"/>
        </w:rPr>
        <w:t xml:space="preserve">UpdateExpression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, then sends one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. The condition atomically</w:t>
      </w:r>
      <w:r>
        <w:t xml:space="preserve"> </w:t>
      </w:r>
      <w:r>
        <w:t xml:space="preserve">checks document, path, and nested-parent existence; numeric increment targets;</w:t>
      </w:r>
      <w:r>
        <w:t xml:space="preserve"> </w:t>
      </w:r>
      <w:r>
        <w:t xml:space="preserve">signed-64-bit increment-result bounds; and absence of SDK-managed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.</w:t>
      </w:r>
      <w:r>
        <w:t xml:space="preserve"> </w:t>
      </w:r>
      <w:r>
        <w:t xml:space="preserve">Caller field names use expression-name placeholders, so reserved words and</w:t>
      </w:r>
      <w:r>
        <w:t xml:space="preserve"> </w:t>
      </w:r>
      <w:r>
        <w:t xml:space="preserve">special characters remain safe.</w:t>
      </w:r>
    </w:p>
    <w:p>
      <w:pPr>
        <w:pStyle w:val="BodyText"/>
      </w:pPr>
      <w:r>
        <w:t xml:space="preserve">A successful PATCH performs one write and no read. The request sets</w:t>
      </w:r>
      <w:r>
        <w:t xml:space="preserve"> </w:t>
      </w:r>
      <w:r>
        <w:rPr>
          <w:rStyle w:val="VerbatimChar"/>
        </w:rPr>
        <w:t xml:space="preserve">ReturnValuesOnConditionCheckFailure.ALL_OLD</w:t>
      </w:r>
      <w:r>
        <w:t xml:space="preserve">; when the condition rejects,</w:t>
      </w:r>
      <w:r>
        <w:t xml:space="preserve"> </w:t>
      </w:r>
      <w:r>
        <w:t xml:space="preserve">DynamoDB normally attaches the unchanged pre-write item to the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ALL_OLD</w:t>
      </w:r>
      <w:r>
        <w:t xml:space="preserve"> </w:t>
      </w:r>
      <w:r>
        <w:t xml:space="preserve">is failure evidence, not a successful-update response or a history</w:t>
      </w:r>
      <w:r>
        <w:t xml:space="preserve"> </w:t>
      </w:r>
      <w:r>
        <w:t xml:space="preserve">lookup. Because the condition failed, no mutation occurred, so this image is</w:t>
      </w:r>
      <w:r>
        <w:t xml:space="preserve"> </w:t>
      </w:r>
      <w:r>
        <w:t xml:space="preserve">also the current unchanged item at the time of rejection. It normally avoids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.</w:t>
      </w:r>
    </w:p>
    <w:p>
      <w:pPr>
        <w:pStyle w:val="BodyText"/>
      </w:pPr>
      <w:r>
        <w:t xml:space="preserve">If the service, emulator, or exception does not include the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image,</w:t>
      </w:r>
      <w:r>
        <w:t xml:space="preserve"> </w:t>
      </w:r>
      <w:r>
        <w:t xml:space="preserve">the adapter uses one strongly consistent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as a rejection-only</w:t>
      </w:r>
      <w:r>
        <w:t xml:space="preserve"> </w:t>
      </w:r>
      <w:r>
        <w:t xml:space="preserve">fallback, then maps the state to the exceptions in Figure 2.</w:t>
      </w:r>
    </w:p>
    <w:bookmarkStart w:id="35" w:name="error-classification-1"/>
    <w:p>
      <w:pPr>
        <w:pStyle w:val="Heading3"/>
      </w:pPr>
      <w:r>
        <w:t xml:space="preserve">Error classification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NOT_FOUND</w:t>
      </w:r>
      <w:r>
        <w:t xml:space="preserve"> </w:t>
      </w:r>
      <w:r>
        <w:t xml:space="preserve">— the unchanged item is absent, or a required field or nested</w:t>
      </w:r>
      <w:r>
        <w:t xml:space="preserve"> </w:t>
      </w:r>
      <w:r>
        <w:t xml:space="preserve">parent is missing.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UNSUPPORTED_CAPABILITY</w:t>
      </w:r>
      <w:r>
        <w:t xml:space="preserve"> </w:t>
      </w:r>
      <w:r>
        <w:t xml:space="preserve">— the unchanged item contains SDK-managed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. The condition deliberately requires</w:t>
      </w:r>
      <w:r>
        <w:t xml:space="preserve"> </w:t>
      </w:r>
      <w:r>
        <w:rPr>
          <w:rStyle w:val="VerbatimChar"/>
        </w:rPr>
        <w:t xml:space="preserve">attribute_not_exists(ttlExpiry)</w:t>
      </w:r>
      <w:r>
        <w:t xml:space="preserve"> </w:t>
      </w:r>
      <w:r>
        <w:t xml:space="preserve">so the portable behavior matches Cosmos DB.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INVALID_REQUEST</w:t>
      </w:r>
      <w:r>
        <w:t xml:space="preserve"> </w:t>
      </w:r>
      <w:r>
        <w:t xml:space="preserve">— the increment target is nonnumeric, its integral result</w:t>
      </w:r>
      <w:r>
        <w:t xml:space="preserve"> </w:t>
      </w:r>
      <w:r>
        <w:t xml:space="preserve">would overflow signed 64-bit, or the stored number is outside the portable</w:t>
      </w:r>
      <w:r>
        <w:t xml:space="preserve"> </w:t>
      </w:r>
      <w:r>
        <w:t xml:space="preserve">numeric domain.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CONFLICT</w:t>
      </w:r>
      <w:r>
        <w:t xml:space="preserve"> </w:t>
      </w:r>
      <w:r>
        <w:t xml:space="preserve">— the response has no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 </w:t>
      </w:r>
      <w:r>
        <w:t xml:space="preserve">image and the fallback read fails,</w:t>
      </w:r>
      <w:r>
        <w:t xml:space="preserve"> </w:t>
      </w:r>
      <w:r>
        <w:t xml:space="preserve">or the evidence proves none of the known deterministic causes.</w:t>
      </w:r>
    </w:p>
    <w:p>
      <w:pPr>
        <w:pStyle w:val="FirstParagraph"/>
      </w:pPr>
      <w:r>
        <w:t xml:space="preserve">The resulting</w:t>
      </w:r>
      <w:r>
        <w:t xml:space="preserve"> </w:t>
      </w:r>
      <w:r>
        <w:rPr>
          <w:rStyle w:val="VerbatimChar"/>
        </w:rPr>
        <w:t xml:space="preserve">MulticloudDbException</w:t>
      </w:r>
      <w:r>
        <w:t xml:space="preserve"> </w:t>
      </w:r>
      <w:r>
        <w:t xml:space="preserve">retains the original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as its cause. The fallback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is only</w:t>
      </w:r>
      <w:r>
        <w:t xml:space="preserve"> </w:t>
      </w:r>
      <w:r>
        <w:t xml:space="preserve">classification evidence; it never changes the already-rejected write.</w:t>
      </w:r>
    </w:p>
    <w:p>
      <w:pPr>
        <w:pStyle w:val="BodyText"/>
      </w:pPr>
      <w:r>
        <w:t xml:space="preserve">DynamoDB native arithmetic is exact decimal, and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would preserve</w:t>
      </w:r>
      <w:r>
        <w:t xml:space="preserve"> </w:t>
      </w:r>
      <w:r>
        <w:t xml:space="preserve">the absolute</w:t>
      </w:r>
      <w:r>
        <w:t xml:space="preserve"> </w:t>
      </w:r>
      <w:r>
        <w:rPr>
          <w:rStyle w:val="VerbatimChar"/>
        </w:rPr>
        <w:t xml:space="preserve">ttlExpiry</w:t>
      </w:r>
      <w:r>
        <w:t xml:space="preserve">. Rules 10 and 11 deliberately constrain those native</w:t>
      </w:r>
      <w:r>
        <w:t xml:space="preserve"> </w:t>
      </w:r>
      <w:r>
        <w:t xml:space="preserve">advantages so the portable outcome matches Cosmos DB.</w:t>
      </w:r>
    </w:p>
    <w:bookmarkEnd w:id="35"/>
    <w:bookmarkEnd w:id="36"/>
    <w:bookmarkStart w:id="37" w:name="capability-matrix"/>
    <w:p>
      <w:pPr>
        <w:pStyle w:val="Heading2"/>
      </w:pPr>
      <w:r>
        <w:t xml:space="preserve">6. Capability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Spanner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</w:tr>
    </w:tbl>
    <w:p>
      <w:pPr>
        <w:pStyle w:val="BodyText"/>
      </w:pPr>
      <w:r>
        <w:t xml:space="preserve">Only two capabilities gate PATCH. Everything else in the contract is the lowest</w:t>
      </w:r>
      <w:r>
        <w:t xml:space="preserve"> </w:t>
      </w:r>
      <w:r>
        <w:t xml:space="preserve">common denominator of the implementing providers, enforced uniformly before</w:t>
      </w:r>
      <w:r>
        <w:t xml:space="preserve"> </w:t>
      </w:r>
      <w:r>
        <w:t xml:space="preserve">dispatch.</w:t>
      </w:r>
    </w:p>
    <w:p>
      <w:pPr>
        <w:pStyle w:val="BodyText"/>
      </w:pPr>
      <w:r>
        <w:t xml:space="preserve">That is a deliberate choice. A capability flag is the right tool when a</w:t>
      </w:r>
      <w:r>
        <w:t xml:space="preserve"> </w:t>
      </w:r>
      <w:r>
        <w:t xml:space="preserve">provider genuinely cannot do something — Spanner has no PATCH at all. It is the</w:t>
      </w:r>
      <w:r>
        <w:t xml:space="preserve"> </w:t>
      </w:r>
      <w:r>
        <w:t xml:space="preserve">wrong tool when providers 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act but would act differently, because the</w:t>
      </w:r>
      <w:r>
        <w:t xml:space="preserve"> </w:t>
      </w:r>
      <w:r>
        <w:t xml:space="preserve">flag would license one portable call to store different data depending on where</w:t>
      </w:r>
      <w:r>
        <w:t xml:space="preserve"> </w:t>
      </w:r>
      <w:r>
        <w:t xml:space="preserve">it ran. Rules 10 and 11 cover exactly those two cases, so they are uniform</w:t>
      </w:r>
      <w:r>
        <w:t xml:space="preserve"> </w:t>
      </w:r>
      <w:r>
        <w:t xml:space="preserve">rejections rather than capabilities.</w:t>
      </w:r>
    </w:p>
    <w:p>
      <w:pPr>
        <w:pStyle w:val="BodyText"/>
      </w:pPr>
      <w:r>
        <w:t xml:space="preserve">Applications needing fractional accumulation should use integral minor units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increment("/balanceCents", 20)</w:t>
      </w:r>
      <w:r>
        <w:t xml:space="preserve">), which is exact on both providers.</w:t>
      </w:r>
    </w:p>
    <w:bookmarkEnd w:id="37"/>
    <w:bookmarkStart w:id="38" w:name="concurrency-and-retry-behavior"/>
    <w:p>
      <w:pPr>
        <w:pStyle w:val="Heading2"/>
      </w:pPr>
      <w:r>
        <w:t xml:space="preserve">7. Concurrency and retry behavior</w:t>
      </w:r>
    </w:p>
    <w:p>
      <w:pPr>
        <w:pStyle w:val="FirstParagraph"/>
      </w:pPr>
      <w:r>
        <w:t xml:space="preserve">Both providers evaluate increments on the server, so concurrent increments do</w:t>
      </w:r>
      <w:r>
        <w:t xml:space="preserve"> </w:t>
      </w:r>
      <w:r>
        <w:t xml:space="preserve">not lose updates.</w:t>
      </w:r>
    </w:p>
    <w:p>
      <w:pPr>
        <w:pStyle w:val="BodyText"/>
      </w:pPr>
      <w:r>
        <w:t xml:space="preserve">An SDK-reported PATCH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is safe to retry because the conditional write</w:t>
      </w:r>
      <w:r>
        <w:t xml:space="preserve"> </w:t>
      </w:r>
      <w:r>
        <w:t xml:space="preserve">was rejected and no operation was applied. Both adapters therefore set</w:t>
      </w:r>
      <w:r>
        <w:t xml:space="preserve"> </w:t>
      </w:r>
      <w:r>
        <w:rPr>
          <w:rStyle w:val="VerbatimChar"/>
        </w:rPr>
        <w:t xml:space="preserve">error().retryable() == true</w:t>
      </w:r>
      <w:r>
        <w:t xml:space="preserve"> </w:t>
      </w:r>
      <w:r>
        <w:t xml:space="preserve">on it, and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is the only portable PATCH</w:t>
      </w:r>
      <w:r>
        <w:t xml:space="preserve"> </w:t>
      </w:r>
      <w:r>
        <w:t xml:space="preserve">category that carries that hint. Every other PATCH category names a</w:t>
      </w:r>
      <w:r>
        <w:t xml:space="preserve"> </w:t>
      </w:r>
      <w:r>
        <w:t xml:space="preserve">deterministic cause an identical retry would reproduce, so it is reported as</w:t>
      </w:r>
      <w:r>
        <w:t xml:space="preserve"> </w:t>
      </w:r>
      <w:r>
        <w:t xml:space="preserve">non-retryable.</w:t>
      </w:r>
    </w:p>
    <w:p>
      <w:pPr>
        <w:pStyle w:val="BodyText"/>
      </w:pPr>
      <w:r>
        <w:t xml:space="preserve">PATCH does not provide an idempotency token. Applications must not blindly</w:t>
      </w:r>
      <w:r>
        <w:t xml:space="preserve"> </w:t>
      </w:r>
      <w:r>
        <w:t xml:space="preserve">replay an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after an ambiguous transport failure because the original</w:t>
      </w:r>
      <w:r>
        <w:t xml:space="preserve"> </w:t>
      </w:r>
      <w:r>
        <w:t xml:space="preserve">request may already have committed.</w:t>
      </w:r>
    </w:p>
    <w:bookmarkEnd w:id="38"/>
    <w:bookmarkStart w:id="39" w:name="cost-expectations"/>
    <w:p>
      <w:pPr>
        <w:pStyle w:val="Heading2"/>
      </w:pPr>
      <w:r>
        <w:t xml:space="preserve">8. Cost expectations</w:t>
      </w:r>
    </w:p>
    <w:p>
      <w:pPr>
        <w:pStyle w:val="FirstParagraph"/>
      </w:pPr>
      <w:r>
        <w:t xml:space="preserve">PATCH is a latency, payload, and concurrency optimization, not a billing</w:t>
      </w:r>
      <w:r>
        <w:t xml:space="preserve"> </w:t>
      </w:r>
      <w:r>
        <w:t xml:space="preserve">guarantee.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Successful request</w:t>
            </w:r>
          </w:p>
        </w:tc>
        <w:tc>
          <w:tcPr/>
          <w:p>
            <w:pPr>
              <w:pStyle w:val="Compact"/>
            </w:pPr>
            <w:r>
              <w:t xml:space="preserve">Rejection-only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patchItem</w:t>
            </w:r>
          </w:p>
        </w:tc>
        <w:tc>
          <w:tcPr/>
          <w:p>
            <w:pPr>
              <w:pStyle w:val="Compact"/>
            </w:pPr>
            <w:r>
              <w:t xml:space="preserve">Point read for HTTP 412 or untyped 400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UpdateItem</w:t>
            </w:r>
          </w:p>
        </w:tc>
        <w:tc>
          <w:tcPr/>
          <w:p>
            <w:pPr>
              <w:pStyle w:val="Compact"/>
            </w:pPr>
            <w:r>
              <w:t xml:space="preserve">Point read only when the failed response omits</w:t>
            </w:r>
            <w:r>
              <w:t xml:space="preserve"> </w:t>
            </w:r>
            <w:r>
              <w:rPr>
                <w:rStyle w:val="VerbatimChar"/>
              </w:rPr>
              <w:t xml:space="preserve">ALL_OLD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  <w:tc>
          <w:tcPr/>
          <w:p>
            <w:pPr>
              <w:pStyle w:val="Compact"/>
            </w:pPr>
            <w:r>
              <w:t xml:space="preserve">No request</w:t>
            </w:r>
          </w:p>
        </w:tc>
      </w:tr>
    </w:tbl>
    <w:p>
      <w:pPr>
        <w:pStyle w:val="BodyText"/>
      </w:pPr>
      <w:r>
        <w:t xml:space="preserve">Actual RU/WCU usage depends on provider configuration, indexing, item shape,</w:t>
      </w:r>
      <w:r>
        <w:t xml:space="preserve"> </w:t>
      </w:r>
      <w:r>
        <w:t xml:space="preserve">and pricing.</w:t>
      </w:r>
    </w:p>
    <w:bookmarkEnd w:id="39"/>
    <w:bookmarkStart w:id="40" w:name="deferred-spanner-implementation"/>
    <w:p>
      <w:pPr>
        <w:pStyle w:val="Heading2"/>
      </w:pPr>
      <w:r>
        <w:t xml:space="preserve">9. Deferred Spanner implementation</w:t>
      </w:r>
    </w:p>
    <w:p>
      <w:pPr>
        <w:pStyle w:val="FirstParagraph"/>
      </w:pPr>
      <w:r>
        <w:t xml:space="preserve">The API and validation are already provider-neutral. A future Spanner</w:t>
      </w:r>
      <w:r>
        <w:t xml:space="preserve"> </w:t>
      </w:r>
      <w:r>
        <w:t xml:space="preserve">implementation only needs to:</w:t>
      </w:r>
    </w:p>
    <w:p>
      <w:pPr>
        <w:pStyle w:val="Compact"/>
        <w:numPr>
          <w:ilvl w:val="0"/>
          <w:numId w:val="1005"/>
        </w:numPr>
      </w:pPr>
      <w:r>
        <w:t xml:space="preserve">implement the same SPI method;</w:t>
      </w:r>
    </w:p>
    <w:p>
      <w:pPr>
        <w:pStyle w:val="Compact"/>
        <w:numPr>
          <w:ilvl w:val="0"/>
          <w:numId w:val="1005"/>
        </w:numPr>
      </w:pPr>
      <w:r>
        <w:t xml:space="preserve">satisfy the same error and atomicity contract;</w:t>
      </w:r>
    </w:p>
    <w:p>
      <w:pPr>
        <w:pStyle w:val="Compact"/>
        <w:numPr>
          <w:ilvl w:val="0"/>
          <w:numId w:val="1005"/>
        </w:numPr>
      </w:pPr>
      <w:r>
        <w:t xml:space="preserve">pass the shared conformance suite;</w:t>
      </w:r>
    </w:p>
    <w:p>
      <w:pPr>
        <w:pStyle w:val="Compact"/>
        <w:numPr>
          <w:ilvl w:val="0"/>
          <w:numId w:val="1005"/>
        </w:numPr>
      </w:pPr>
      <w:r>
        <w:t xml:space="preserve">update its capability declarations.</w:t>
      </w:r>
    </w:p>
    <w:p>
      <w:pPr>
        <w:pStyle w:val="FirstParagraph"/>
      </w:pPr>
      <w:r>
        <w:t xml:space="preserve">The detailed Spanner proposal is maintained separately on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specs/002-patch-api/spanner-design.md</w:t>
      </w:r>
      <w:r>
        <w:t xml:space="preserve">.</w:t>
      </w:r>
    </w:p>
    <w:bookmarkEnd w:id="40"/>
    <w:bookmarkStart w:id="41" w:name="references"/>
    <w:p>
      <w:pPr>
        <w:pStyle w:val="Heading2"/>
      </w:pPr>
      <w:r>
        <w:t xml:space="preserve">10. References</w:t>
      </w:r>
    </w:p>
    <w:p>
      <w:pPr>
        <w:pStyle w:val="Compact"/>
        <w:numPr>
          <w:ilvl w:val="0"/>
          <w:numId w:val="1006"/>
        </w:numPr>
      </w:pPr>
      <w:r>
        <w:t xml:space="preserve">Requirements:</w:t>
      </w:r>
      <w:r>
        <w:t xml:space="preserve"> </w:t>
      </w:r>
      <w:r>
        <w:rPr>
          <w:rStyle w:val="VerbatimChar"/>
        </w:rPr>
        <w:t xml:space="preserve">specs/001-clouddb-sdk/spec.md</w:t>
      </w:r>
      <w:r>
        <w:t xml:space="preserve">, FR-181 through FR-192</w:t>
      </w:r>
    </w:p>
    <w:p>
      <w:pPr>
        <w:pStyle w:val="Compact"/>
        <w:numPr>
          <w:ilvl w:val="0"/>
          <w:numId w:val="1006"/>
        </w:numPr>
      </w:pPr>
      <w:r>
        <w:t xml:space="preserve">Planning decisions:</w:t>
      </w:r>
      <w:r>
        <w:t xml:space="preserve"> </w:t>
      </w:r>
      <w:r>
        <w:rPr>
          <w:rStyle w:val="VerbatimChar"/>
        </w:rPr>
        <w:t xml:space="preserve">specs/001-clouddb-sdk/plan.md</w:t>
      </w:r>
    </w:p>
    <w:p>
      <w:pPr>
        <w:pStyle w:val="Compact"/>
        <w:numPr>
          <w:ilvl w:val="0"/>
          <w:numId w:val="1006"/>
        </w:numPr>
      </w:pPr>
      <w:r>
        <w:t xml:space="preserve">User guidance:</w:t>
      </w:r>
      <w:r>
        <w:t xml:space="preserve"> </w:t>
      </w:r>
      <w:r>
        <w:rPr>
          <w:rStyle w:val="VerbatimChar"/>
        </w:rPr>
        <w:t xml:space="preserve">docs/guide.md</w:t>
      </w:r>
    </w:p>
    <w:p>
      <w:pPr>
        <w:pStyle w:val="Compact"/>
        <w:numPr>
          <w:ilvl w:val="0"/>
          <w:numId w:val="1006"/>
        </w:numPr>
      </w:pPr>
      <w:r>
        <w:t xml:space="preserve">Compatibility matrix:</w:t>
      </w:r>
      <w:r>
        <w:t xml:space="preserve"> </w:t>
      </w:r>
      <w:r>
        <w:rPr>
          <w:rStyle w:val="VerbatimChar"/>
        </w:rPr>
        <w:t xml:space="preserve">docs/compatibility.md</w:t>
      </w:r>
    </w:p>
    <w:p>
      <w:pPr>
        <w:pStyle w:val="Compact"/>
        <w:numPr>
          <w:ilvl w:val="0"/>
          <w:numId w:val="1006"/>
        </w:numPr>
      </w:pPr>
      <w:r>
        <w:t xml:space="preserve">Shared tests:</w:t>
      </w:r>
      <w:r>
        <w:t xml:space="preserve"> </w:t>
      </w:r>
      <w:r>
        <w:rPr>
          <w:rStyle w:val="VerbatimChar"/>
        </w:rPr>
        <w:t xml:space="preserve">multiclouddb-conformance/.../us28/PatchConformanceTest.java</w:t>
      </w:r>
    </w:p>
    <w:p>
      <w:pPr>
        <w:pStyle w:val="Compact"/>
        <w:numPr>
          <w:ilvl w:val="0"/>
          <w:numId w:val="1006"/>
        </w:numPr>
      </w:pPr>
      <w:r>
        <w:t xml:space="preserve">Cosmos implementation:</w:t>
      </w:r>
      <w:r>
        <w:t xml:space="preserve"> </w:t>
      </w:r>
      <w:r>
        <w:rPr>
          <w:rStyle w:val="VerbatimChar"/>
        </w:rPr>
        <w:t xml:space="preserve">multiclouddb-provider-cosmos/.../CosmosProviderClient.java</w:t>
      </w:r>
    </w:p>
    <w:p>
      <w:pPr>
        <w:pStyle w:val="Compact"/>
        <w:numPr>
          <w:ilvl w:val="0"/>
          <w:numId w:val="1006"/>
        </w:numPr>
      </w:pPr>
      <w:r>
        <w:t xml:space="preserve">DynamoDB implementation:</w:t>
      </w:r>
      <w:r>
        <w:t xml:space="preserve"> </w:t>
      </w:r>
      <w:r>
        <w:rPr>
          <w:rStyle w:val="VerbatimChar"/>
        </w:rPr>
        <w:t xml:space="preserve">multiclouddb-provider-dynamo/.../DynamoProviderClient.java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12" Target="https://docs.aws.amazon.com/amazondynamodb/latest/developerguide/Expressions.UpdateExpressions.html" TargetMode="External" /><Relationship Type="http://schemas.openxmlformats.org/officeDocument/2006/relationships/hyperlink" Id="rId17" Target="https://docs.aws.amazon.com/amazondynamodb/latest/developerguide/HowItWorks.NamingRulesDataTypes.html" TargetMode="External" /><Relationship Type="http://schemas.openxmlformats.org/officeDocument/2006/relationships/hyperlink" Id="rId15" Target="https://docs.aws.amazon.com/amazondynamodb/latest/developerguide/TTL.html" TargetMode="External" /><Relationship Type="http://schemas.openxmlformats.org/officeDocument/2006/relationships/hyperlink" Id="rId18" Target="https://docs.oracle.com/javase/specs/jls/se17/html/jls-4.html#jls-4.2.3" TargetMode="External" /><Relationship Type="http://schemas.openxmlformats.org/officeDocument/2006/relationships/hyperlink" Id="rId16" Target="https://learn.microsoft.com/cosmos-db/query/is-integer" TargetMode="External" /><Relationship Type="http://schemas.openxmlformats.org/officeDocument/2006/relationships/hyperlink" Id="rId14" Target="https://learn.microsoft.com/en-us/azure/cosmos-db/nosql/time-to-live" TargetMode="External" /><Relationship Type="http://schemas.openxmlformats.org/officeDocument/2006/relationships/hyperlink" Id="rId10" Target="https://learn.microsoft.com/en-us/azure/cosmos-db/partial-document-update#supported-modes" TargetMode="External" /><Relationship Type="http://schemas.openxmlformats.org/officeDocument/2006/relationships/hyperlink" Id="rId13" Target="https://learn.microsoft.com/en-us/azure/cosmos-db/resource-model" TargetMode="External" /><Relationship Type="http://schemas.openxmlformats.org/officeDocument/2006/relationships/hyperlink" Id="rId11" Target="https://www.rfc-editor.org/rfc/rfc6901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cs.aws.amazon.com/amazondynamodb/latest/developerguide/Expressions.UpdateExpressions.html" TargetMode="External" /><Relationship Type="http://schemas.openxmlformats.org/officeDocument/2006/relationships/hyperlink" Id="rId17" Target="https://docs.aws.amazon.com/amazondynamodb/latest/developerguide/HowItWorks.NamingRulesDataTypes.html" TargetMode="External" /><Relationship Type="http://schemas.openxmlformats.org/officeDocument/2006/relationships/hyperlink" Id="rId15" Target="https://docs.aws.amazon.com/amazondynamodb/latest/developerguide/TTL.html" TargetMode="External" /><Relationship Type="http://schemas.openxmlformats.org/officeDocument/2006/relationships/hyperlink" Id="rId18" Target="https://docs.oracle.com/javase/specs/jls/se17/html/jls-4.html#jls-4.2.3" TargetMode="External" /><Relationship Type="http://schemas.openxmlformats.org/officeDocument/2006/relationships/hyperlink" Id="rId16" Target="https://learn.microsoft.com/cosmos-db/query/is-integer" TargetMode="External" /><Relationship Type="http://schemas.openxmlformats.org/officeDocument/2006/relationships/hyperlink" Id="rId14" Target="https://learn.microsoft.com/en-us/azure/cosmos-db/nosql/time-to-live" TargetMode="External" /><Relationship Type="http://schemas.openxmlformats.org/officeDocument/2006/relationships/hyperlink" Id="rId10" Target="https://learn.microsoft.com/en-us/azure/cosmos-db/partial-document-update#supported-modes" TargetMode="External" /><Relationship Type="http://schemas.openxmlformats.org/officeDocument/2006/relationships/hyperlink" Id="rId13" Target="https://learn.microsoft.com/en-us/azure/cosmos-db/resource-model" TargetMode="External" /><Relationship Type="http://schemas.openxmlformats.org/officeDocument/2006/relationships/hyperlink" Id="rId11" Target="https://www.rfc-editor.org/rfc/rfc6901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2026-08-24T23:43:35Z</dcterms:created>
  <dcterms:modified xsi:type="dcterms:W3CDTF">2026-08-24T23:43:35Z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