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panner-patch---deferred-design"/>
    <w:p>
      <w:pPr>
        <w:pStyle w:val="Heading1"/>
      </w:pPr>
      <w:r>
        <w:t xml:space="preserve">Spanner PATCH - Deferred Design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Proposed for a separate Spanner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spanner/patch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PATCH design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design.md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Updated</w:t>
            </w:r>
          </w:p>
        </w:tc>
        <w:tc>
          <w:tcPr/>
          <w:p>
            <w:pPr>
              <w:pStyle w:val="Compact"/>
            </w:pPr>
            <w:r>
              <w:t xml:space="preserve">2026-08-20</w:t>
            </w:r>
          </w:p>
        </w:tc>
      </w:tr>
    </w:tbl>
    <w:bookmarkStart w:id="10" w:name="X2a0996b215cf614e9d115f6e6d52f107825a72b"/>
    <w:p>
      <w:pPr>
        <w:pStyle w:val="Heading2"/>
      </w:pPr>
      <w:r>
        <w:t xml:space="preserve">1. Decision</w:t>
      </w:r>
    </w:p>
    <w:p>
      <w:pPr>
        <w:pStyle w:val="FirstParagraph"/>
      </w:pPr>
      <w:r>
        <w:t xml:space="preserve">Spanner PATCH is not part of PR #95. That PR ships:</w:t>
      </w:r>
    </w:p>
    <w:p>
      <w:pPr>
        <w:pStyle w:val="Compact"/>
        <w:numPr>
          <w:ilvl w:val="0"/>
          <w:numId w:val="1001"/>
        </w:numPr>
      </w:pPr>
      <w:r>
        <w:t xml:space="preserve">Cosmos DB native</w:t>
      </w:r>
      <w:r>
        <w:t xml:space="preserve"> </w:t>
      </w:r>
      <w:r>
        <w:rPr>
          <w:rStyle w:val="VerbatimChar"/>
        </w:rPr>
        <w:t xml:space="preserve">patchItem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DynamoDB native</w:t>
      </w:r>
      <w:r>
        <w:t xml:space="preserve"> </w:t>
      </w:r>
      <w:r>
        <w:rPr>
          <w:rStyle w:val="VerbatimChar"/>
        </w:rPr>
        <w:t xml:space="preserve">UpdateItem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Spanner</w:t>
      </w:r>
      <w:r>
        <w:t xml:space="preserve"> </w:t>
      </w:r>
      <w:r>
        <w:rPr>
          <w:rStyle w:val="VerbatimChar"/>
        </w:rPr>
        <w:t xml:space="preserve">UNSUPPORTED_CAPABILITY</w:t>
      </w:r>
      <w:r>
        <w:t xml:space="preserve">.</w:t>
      </w:r>
    </w:p>
    <w:p>
      <w:pPr>
        <w:pStyle w:val="FirstParagraph"/>
      </w:pPr>
      <w:r>
        <w:t xml:space="preserve">The preserved Spanner prototype is useful for testing, but it should not ship</w:t>
      </w:r>
      <w:r>
        <w:t xml:space="preserve"> </w:t>
      </w:r>
      <w:r>
        <w:t xml:space="preserve">unchanged. The final implementation should apply PATCH with one server-side</w:t>
      </w:r>
      <w:r>
        <w:t xml:space="preserve"> </w:t>
      </w:r>
      <w:r>
        <w:t xml:space="preserve">GoogleSQL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 without reading and rebuilding the document in Java on the</w:t>
      </w:r>
      <w:r>
        <w:t xml:space="preserve"> </w:t>
      </w:r>
      <w:r>
        <w:t xml:space="preserve">success path.</w:t>
      </w:r>
    </w:p>
    <w:p>
      <w:pPr>
        <w:pStyle w:val="BodyText"/>
      </w:pPr>
      <w:r>
        <w:t xml:space="preserve">This change remains Spanner-specific. It does not require a public API change</w:t>
      </w:r>
      <w:r>
        <w:t xml:space="preserve"> </w:t>
      </w:r>
      <w:r>
        <w:t xml:space="preserve">or any behavioral change to Cosmos DB or DynamoDB.</w:t>
      </w:r>
    </w:p>
    <w:bookmarkEnd w:id="10"/>
    <w:bookmarkStart w:id="14" w:name="X585e3a81b300f3e448020e746d6ab7f516581f2"/>
    <w:p>
      <w:pPr>
        <w:pStyle w:val="Heading2"/>
      </w:pPr>
      <w:r>
        <w:t xml:space="preserve">2. Preserved prototype</w:t>
      </w:r>
    </w:p>
    <w:p>
      <w:pPr>
        <w:pStyle w:val="FirstParagraph"/>
      </w:pPr>
      <w:r>
        <w:t xml:space="preserve">The current experimental branch:</w:t>
      </w:r>
    </w:p>
    <w:p>
      <w:pPr>
        <w:pStyle w:val="Compact"/>
        <w:numPr>
          <w:ilvl w:val="0"/>
          <w:numId w:val="1002"/>
        </w:numPr>
      </w:pPr>
      <w:r>
        <w:t xml:space="preserve">starts a Spanner read-write transaction;</w:t>
      </w:r>
    </w:p>
    <w:p>
      <w:pPr>
        <w:pStyle w:val="Compact"/>
        <w:numPr>
          <w:ilvl w:val="0"/>
          <w:numId w:val="1002"/>
        </w:numPr>
      </w:pPr>
      <w:r>
        <w:t xml:space="preserve">reads the JSON document envelope from</w:t>
      </w:r>
      <w:r>
        <w:t xml:space="preserve"> </w:t>
      </w:r>
      <w:r>
        <w:rPr>
          <w:rStyle w:val="VerbatimChar"/>
        </w:rPr>
        <w:t xml:space="preserve">data STRING(MAX)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applies operations in Java;</w:t>
      </w:r>
    </w:p>
    <w:p>
      <w:pPr>
        <w:pStyle w:val="Compact"/>
        <w:numPr>
          <w:ilvl w:val="0"/>
          <w:numId w:val="1002"/>
        </w:numPr>
      </w:pPr>
      <w:r>
        <w:t xml:space="preserve">rewrites the envelope and compatible physical columns;</w:t>
      </w:r>
    </w:p>
    <w:p>
      <w:pPr>
        <w:pStyle w:val="Compact"/>
        <w:numPr>
          <w:ilvl w:val="0"/>
          <w:numId w:val="1002"/>
        </w:numPr>
      </w:pPr>
      <w:r>
        <w:t xml:space="preserve">commits the transaction.</w:t>
      </w:r>
    </w:p>
    <w:p>
      <w:pPr>
        <w:pStyle w:val="FirstParagraph"/>
      </w:pPr>
      <w:r>
        <w:t xml:space="preserve">It is atomic and passed the experimental Spanner conformance run, but it has</w:t>
      </w:r>
      <w:r>
        <w:t xml:space="preserve"> </w:t>
      </w:r>
      <w:r>
        <w:t xml:space="preserve">two drawbacks:</w:t>
      </w:r>
    </w:p>
    <w:p>
      <w:pPr>
        <w:pStyle w:val="Compact"/>
        <w:numPr>
          <w:ilvl w:val="0"/>
          <w:numId w:val="1003"/>
        </w:numPr>
      </w:pPr>
      <w:r>
        <w:t xml:space="preserve">every successful PATCH performs a document read;</w:t>
      </w:r>
    </w:p>
    <w:p>
      <w:pPr>
        <w:pStyle w:val="Compact"/>
        <w:numPr>
          <w:ilvl w:val="0"/>
          <w:numId w:val="1003"/>
        </w:numPr>
      </w:pPr>
      <w:r>
        <w:t xml:space="preserve">every successful PATCH rebuilds the complete envelope in Java.</w:t>
      </w:r>
    </w:p>
    <w:p>
      <w:pPr>
        <w:pStyle w:val="FirstParagraph"/>
      </w:pPr>
      <w:r>
        <w:t xml:space="preserve">The prototype is a fallback and test reference, not the preferred release</w:t>
      </w:r>
      <w:r>
        <w:t xml:space="preserve"> </w:t>
      </w:r>
      <w:r>
        <w:t xml:space="preserve">architecture.</w:t>
      </w:r>
    </w:p>
    <w:p>
      <w:pPr>
        <w:pStyle w:val="BodyText"/>
      </w:pPr>
      <w:r>
        <w:drawing>
          <wp:inline>
            <wp:extent cx="5334000" cy="3200400"/>
            <wp:effectExtent b="0" l="0" r="0" t="0"/>
            <wp:docPr descr="Spanner prototype and target architecture" title="" id="12" name="Picture"/>
            <a:graphic>
              <a:graphicData uri="http://schemas.openxmlformats.org/drawingml/2006/picture">
                <pic:pic>
                  <pic:nvPicPr>
                    <pic:cNvPr descr="images/spanner-prototype-vs-targe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1. The public PATCH contract stays unchanged; only the Spanner</w:t>
      </w:r>
      <w:r>
        <w:rPr>
          <w:i/>
          <w:iCs/>
        </w:rPr>
        <w:t xml:space="preserve"> </w:t>
      </w:r>
      <w:r>
        <w:rPr>
          <w:i/>
          <w:iCs/>
        </w:rPr>
        <w:t xml:space="preserve">provider's success path changes.</w:t>
      </w:r>
    </w:p>
    <w:bookmarkEnd w:id="14"/>
    <w:bookmarkStart w:id="15" w:name="Xb241760503788753a060a8d6e42c8e26e4ccc72"/>
    <w:p>
      <w:pPr>
        <w:pStyle w:val="Heading2"/>
      </w:pPr>
      <w:r>
        <w:t xml:space="preserve">3. Target architecture</w:t>
      </w:r>
    </w:p>
    <w:p>
      <w:pPr>
        <w:pStyle w:val="FirstParagraph"/>
      </w:pPr>
      <w:r>
        <w:t xml:space="preserve">Keep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STRING(MAX)</w:t>
      </w:r>
      <w:r>
        <w:t xml:space="preserve"> </w:t>
      </w:r>
      <w:r>
        <w:t xml:space="preserve">for the first Spanner PATCH release and transform</w:t>
      </w:r>
      <w:r>
        <w:t xml:space="preserve"> </w:t>
      </w:r>
      <w:r>
        <w:t xml:space="preserve">the JSON envelope inside Spanner: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TO_JSON_STRING(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JSON_SET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JSON_REMOVE expression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SAFE.PARSE_JSON(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partitionKey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@partitionKey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sortKey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@sortKey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portable path,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predicates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The request runs in a Spanner read-write transaction but performs no</w:t>
      </w:r>
      <w:r>
        <w:t xml:space="preserve"> </w:t>
      </w:r>
      <w:r>
        <w:t xml:space="preserve">success-path point read.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Portable operation</w:t>
            </w:r>
          </w:p>
        </w:tc>
        <w:tc>
          <w:tcPr/>
          <w:p>
            <w:pPr>
              <w:pStyle w:val="Compact"/>
            </w:pPr>
            <w:r>
              <w:t xml:space="preserve">GoogleSQL approach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JSON_SET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existence predicate plus</w:t>
            </w:r>
            <w:r>
              <w:t xml:space="preserve"> </w:t>
            </w:r>
            <w:r>
              <w:rPr>
                <w:rStyle w:val="VerbatimChar"/>
              </w:rPr>
              <w:t xml:space="preserve">JSON_SET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</w:t>
            </w:r>
          </w:p>
        </w:tc>
        <w:tc>
          <w:tcPr/>
          <w:p>
            <w:pPr>
              <w:pStyle w:val="Compact"/>
            </w:pPr>
            <w:r>
              <w:t xml:space="preserve">existence predicate plus</w:t>
            </w:r>
            <w:r>
              <w:t xml:space="preserve"> </w:t>
            </w:r>
            <w:r>
              <w:rPr>
                <w:rStyle w:val="VerbatimChar"/>
              </w:rPr>
              <w:t xml:space="preserve">JSON_REMOVE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INCREMENT</w:t>
            </w:r>
          </w:p>
        </w:tc>
        <w:tc>
          <w:tcPr/>
          <w:p>
            <w:pPr>
              <w:pStyle w:val="Compact"/>
            </w:pPr>
            <w:r>
              <w:t xml:space="preserve">numeric/range predicate plus</w:t>
            </w:r>
            <w:r>
              <w:t xml:space="preserve"> </w:t>
            </w:r>
            <w:r>
              <w:rPr>
                <w:rStyle w:val="VerbatimChar"/>
              </w:rPr>
              <w:t xml:space="preserve">JSON_SET(current + delta)</w:t>
            </w:r>
          </w:p>
        </w:tc>
      </w:tr>
    </w:tbl>
    <w:p>
      <w:pPr>
        <w:pStyle w:val="BodyText"/>
      </w:pPr>
      <w:r>
        <w:t xml:space="preserve">All operations are compiled into one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 so they commit together or not</w:t>
      </w:r>
      <w:r>
        <w:t xml:space="preserve"> </w:t>
      </w:r>
      <w:r>
        <w:t xml:space="preserve">at all.</w:t>
      </w:r>
    </w:p>
    <w:bookmarkEnd w:id="15"/>
    <w:bookmarkStart w:id="19" w:name="Xb2465da9b34864d7a1579ee058b03741bd8296f"/>
    <w:p>
      <w:pPr>
        <w:pStyle w:val="Heading2"/>
      </w:pPr>
      <w:r>
        <w:t xml:space="preserve">4. Strict portable behavior</w:t>
      </w:r>
    </w:p>
    <w:p>
      <w:pPr>
        <w:pStyle w:val="FirstParagraph"/>
      </w:pPr>
      <w:r>
        <w:t xml:space="preserve">The DML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must enforce the same contract as Cosmos DB and</w:t>
      </w:r>
      <w:r>
        <w:t xml:space="preserve"> </w:t>
      </w:r>
      <w:r>
        <w:t xml:space="preserve">DynamoDB:</w:t>
      </w:r>
    </w:p>
    <w:p>
      <w:pPr>
        <w:pStyle w:val="Compact"/>
        <w:numPr>
          <w:ilvl w:val="0"/>
          <w:numId w:val="1004"/>
        </w:numPr>
      </w:pPr>
      <w:r>
        <w:t xml:space="preserve">the document exists;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INCREMENT</w:t>
      </w:r>
      <w:r>
        <w:t xml:space="preserve"> </w:t>
      </w:r>
      <w:r>
        <w:t xml:space="preserve">targets exist;</w:t>
      </w:r>
    </w:p>
    <w:p>
      <w:pPr>
        <w:pStyle w:val="Compact"/>
        <w:numPr>
          <w:ilvl w:val="0"/>
          <w:numId w:val="1004"/>
        </w:numPr>
      </w:pPr>
      <w:r>
        <w:t xml:space="preserve">a nested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parent exists;</w:t>
      </w:r>
    </w:p>
    <w:p>
      <w:pPr>
        <w:pStyle w:val="Compact"/>
        <w:numPr>
          <w:ilvl w:val="0"/>
          <w:numId w:val="1004"/>
        </w:numPr>
      </w:pPr>
      <w:r>
        <w:t xml:space="preserve">increment targets are numeric;</w:t>
      </w:r>
    </w:p>
    <w:p>
      <w:pPr>
        <w:pStyle w:val="Compact"/>
        <w:numPr>
          <w:ilvl w:val="0"/>
          <w:numId w:val="1004"/>
        </w:numPr>
      </w:pPr>
      <w:r>
        <w:t xml:space="preserve">integral results remain within signed 64-bit range.</w:t>
      </w:r>
    </w:p>
    <w:p>
      <w:pPr>
        <w:pStyle w:val="FirstParagraph"/>
      </w:pPr>
      <w:r>
        <w:rPr>
          <w:rStyle w:val="VerbatimChar"/>
        </w:rPr>
        <w:t xml:space="preserve">JSON_SET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JSON_REMOVE</w:t>
      </w:r>
      <w:r>
        <w:t xml:space="preserve"> </w:t>
      </w:r>
      <w:r>
        <w:t xml:space="preserve">can silently ignore incompatible or missing paths.</w:t>
      </w:r>
      <w:r>
        <w:t xml:space="preserve"> </w:t>
      </w:r>
      <w:r>
        <w:t xml:space="preserve">The explicit predicates are therefore required.</w:t>
      </w:r>
    </w:p>
    <w:p>
      <w:pPr>
        <w:pStyle w:val="BodyText"/>
      </w:pPr>
      <w:r>
        <w:t xml:space="preserve">If the update affects zero rows, classify the cause with a point read in the</w:t>
      </w:r>
      <w:r>
        <w:t xml:space="preserve"> </w:t>
      </w:r>
      <w:r>
        <w:t xml:space="preserve">same transaction: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or required path 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Nonnumeric target or integral overflow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no longer proves a deterministic cause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</w:t>
            </w:r>
          </w:p>
        </w:tc>
      </w:tr>
    </w:tbl>
    <w:p>
      <w:pPr>
        <w:pStyle w:val="BodyText"/>
      </w:pPr>
      <w:r>
        <w:drawing>
          <wp:inline>
            <wp:extent cx="5334000" cy="3573780"/>
            <wp:effectExtent b="0" l="0" r="0" t="0"/>
            <wp:docPr descr="Proposed Spanner DML workflow" title="" id="17" name="Picture"/>
            <a:graphic>
              <a:graphicData uri="http://schemas.openxmlformats.org/drawingml/2006/picture">
                <pic:pic>
                  <pic:nvPicPr>
                    <pic:cNvPr descr="images/spanner-target-dml-workflow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3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2. A successful update has no point read; rejected state is read only</w:t>
      </w:r>
      <w:r>
        <w:rPr>
          <w:i/>
          <w:iCs/>
        </w:rPr>
        <w:t xml:space="preserve"> </w:t>
      </w:r>
      <w:r>
        <w:rPr>
          <w:i/>
          <w:iCs/>
        </w:rPr>
        <w:t xml:space="preserve">when the conditional DML affects zero rows.</w:t>
      </w:r>
    </w:p>
    <w:bookmarkEnd w:id="19"/>
    <w:bookmarkStart w:id="20" w:name="X5c3b08196cff31a0d82c4b5d03989183ce6bf73"/>
    <w:p>
      <w:pPr>
        <w:pStyle w:val="Heading2"/>
      </w:pPr>
      <w:r>
        <w:t xml:space="preserve">5. Storage and migration</w:t>
      </w:r>
    </w:p>
    <w:p>
      <w:pPr>
        <w:pStyle w:val="FirstParagraph"/>
      </w:pPr>
      <w:r>
        <w:t xml:space="preserve">The existing Spanner provider historically used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as a JSON list of field</w:t>
      </w:r>
      <w:r>
        <w:t xml:space="preserve"> </w:t>
      </w:r>
      <w:r>
        <w:t xml:space="preserve">names. The prototype changes it to an object envelope containing</w:t>
      </w:r>
      <w:r>
        <w:t xml:space="preserve"> </w:t>
      </w:r>
      <w:r>
        <w:rPr>
          <w:rStyle w:val="VerbatimChar"/>
        </w:rPr>
        <w:t xml:space="preserve">_mcdbDocument</w:t>
      </w:r>
      <w:r>
        <w:t xml:space="preserve">.</w:t>
      </w:r>
    </w:p>
    <w:p>
      <w:pPr>
        <w:pStyle w:val="BodyText"/>
      </w:pPr>
      <w:r>
        <w:t xml:space="preserve">Before PATCH is enabled:</w:t>
      </w:r>
    </w:p>
    <w:p>
      <w:pPr>
        <w:pStyle w:val="Compact"/>
        <w:numPr>
          <w:ilvl w:val="0"/>
          <w:numId w:val="1005"/>
        </w:numPr>
      </w:pPr>
      <w:r>
        <w:t xml:space="preserve">new writes must use the envelope format;</w:t>
      </w:r>
    </w:p>
    <w:p>
      <w:pPr>
        <w:pStyle w:val="Compact"/>
        <w:numPr>
          <w:ilvl w:val="0"/>
          <w:numId w:val="1005"/>
        </w:numPr>
      </w:pPr>
      <w:r>
        <w:t xml:space="preserve">reads must recognize legacy and envelope rows;</w:t>
      </w:r>
    </w:p>
    <w:p>
      <w:pPr>
        <w:pStyle w:val="Compact"/>
        <w:numPr>
          <w:ilvl w:val="0"/>
          <w:numId w:val="1005"/>
        </w:numPr>
      </w:pPr>
      <w:r>
        <w:t xml:space="preserve">existing rows must have a documented migration path;</w:t>
      </w:r>
    </w:p>
    <w:p>
      <w:pPr>
        <w:pStyle w:val="Compact"/>
        <w:numPr>
          <w:ilvl w:val="0"/>
          <w:numId w:val="1005"/>
        </w:numPr>
      </w:pPr>
      <w:r>
        <w:t xml:space="preserve">malformed or unknown formats must fail explicitly.</w:t>
      </w:r>
    </w:p>
    <w:p>
      <w:pPr>
        <w:pStyle w:val="FirstParagraph"/>
      </w:pPr>
      <w:r>
        <w:t xml:space="preserve">A native Spanner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column may be considered later. It is not required for</w:t>
      </w:r>
      <w:r>
        <w:t xml:space="preserve"> </w:t>
      </w:r>
      <w:r>
        <w:t xml:space="preserve">the first PATCH implementation because</w:t>
      </w:r>
      <w:r>
        <w:t xml:space="preserve"> </w:t>
      </w:r>
      <w:r>
        <w:rPr>
          <w:rStyle w:val="VerbatimChar"/>
        </w:rPr>
        <w:t xml:space="preserve">PARSE_JSON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TO_JSON_STRING</w:t>
      </w:r>
      <w:r>
        <w:t xml:space="preserve"> </w:t>
      </w:r>
      <w:r>
        <w:t xml:space="preserve">can</w:t>
      </w:r>
      <w:r>
        <w:t xml:space="preserve"> </w:t>
      </w:r>
      <w:r>
        <w:t xml:space="preserve">operate server-side over the existing string column.</w:t>
      </w:r>
    </w:p>
    <w:bookmarkEnd w:id="20"/>
    <w:bookmarkStart w:id="21" w:name="X40a02763b01549c76bb6cd577ca6c3b63e2102d"/>
    <w:p>
      <w:pPr>
        <w:pStyle w:val="Heading2"/>
      </w:pPr>
      <w:r>
        <w:t xml:space="preserve">6. Physical-column mirrors</w:t>
      </w:r>
    </w:p>
    <w:p>
      <w:pPr>
        <w:pStyle w:val="FirstParagraph"/>
      </w:pPr>
      <w:r>
        <w:t xml:space="preserve">The envelope is authoritative. Physical columns used for querying or</w:t>
      </w:r>
      <w:r>
        <w:t xml:space="preserve"> </w:t>
      </w:r>
      <w:r>
        <w:t xml:space="preserve">interoperability must not remain stale.</w:t>
      </w:r>
    </w:p>
    <w:p>
      <w:pPr>
        <w:pStyle w:val="BodyText"/>
      </w:pPr>
      <w:r>
        <w:t xml:space="preserve">For every patched top-level field, the same DML statement must:</w:t>
      </w:r>
    </w:p>
    <w:p>
      <w:pPr>
        <w:pStyle w:val="Compact"/>
        <w:numPr>
          <w:ilvl w:val="0"/>
          <w:numId w:val="1006"/>
        </w:numPr>
      </w:pPr>
      <w:r>
        <w:t xml:space="preserve">update the compatible physical column;</w:t>
      </w:r>
    </w:p>
    <w:p>
      <w:pPr>
        <w:pStyle w:val="Compact"/>
        <w:numPr>
          <w:ilvl w:val="0"/>
          <w:numId w:val="1006"/>
        </w:numPr>
      </w:pPr>
      <w:r>
        <w:t xml:space="preserve">recompute its serialized value; or</w:t>
      </w:r>
    </w:p>
    <w:p>
      <w:pPr>
        <w:pStyle w:val="Compact"/>
        <w:numPr>
          <w:ilvl w:val="0"/>
          <w:numId w:val="1006"/>
        </w:numPr>
      </w:pPr>
      <w:r>
        <w:t xml:space="preserve">clear it to SQL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FirstParagraph"/>
      </w:pPr>
      <w:r>
        <w:t xml:space="preserve">Queries, reads, and change feeds must return the same post-patch document.</w:t>
      </w:r>
    </w:p>
    <w:bookmarkEnd w:id="21"/>
    <w:bookmarkStart w:id="22" w:name="Xd5a43f01a0dea69f7ebd281db53842a0a4f8794"/>
    <w:p>
      <w:pPr>
        <w:pStyle w:val="Heading2"/>
      </w:pPr>
      <w:r>
        <w:t xml:space="preserve">7. Capability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Initial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Supported after the server-side DML implementation passes conformance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NESTED_PATCH</w:t>
            </w:r>
          </w:p>
        </w:tc>
        <w:tc>
          <w:tcPr/>
          <w:p>
            <w:pPr>
              <w:pStyle w:val="Compact"/>
            </w:pPr>
            <w:r>
              <w:t xml:space="preserve">Supported only after JSONPath and nested-mirror behavior pass conformance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EXACT_FRACTIONAL_INCREMENT</w:t>
            </w:r>
          </w:p>
        </w:tc>
        <w:tc>
          <w:tcPr/>
          <w:p>
            <w:pPr>
              <w:pStyle w:val="Compact"/>
            </w:pPr>
            <w:r>
              <w:t xml:space="preserve">Unsupported; initial arithmetic uses JSON/FLOAT64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PATCH_PRESERVES_TTL</w:t>
            </w:r>
          </w:p>
        </w:tc>
        <w:tc>
          <w:tcPr/>
          <w:p>
            <w:pPr>
              <w:pStyle w:val="Compact"/>
            </w:pPr>
            <w:r>
              <w:t xml:space="preserve">Unsupported while Spanner row-level TTL is unavailable</w:t>
            </w:r>
          </w:p>
        </w:tc>
      </w:tr>
    </w:tbl>
    <w:p>
      <w:pPr>
        <w:pStyle w:val="BodyText"/>
      </w:pPr>
      <w:r>
        <w:t xml:space="preserve">Capabilities stay unsupported until the related behavior is complete.</w:t>
      </w:r>
    </w:p>
    <w:bookmarkEnd w:id="22"/>
    <w:bookmarkStart w:id="23" w:name="Xfab061f6c83f9445c61a642aff30c5d1fda6478"/>
    <w:p>
      <w:pPr>
        <w:pStyle w:val="Heading2"/>
      </w:pPr>
      <w:r>
        <w:t xml:space="preserve">8. Implementation sequence</w:t>
      </w:r>
    </w:p>
    <w:p>
      <w:pPr>
        <w:pStyle w:val="Compact"/>
        <w:numPr>
          <w:ilvl w:val="0"/>
          <w:numId w:val="1007"/>
        </w:numPr>
      </w:pPr>
      <w:r>
        <w:t xml:space="preserve">Rebase</w:t>
      </w:r>
      <w:r>
        <w:t xml:space="preserve"> </w:t>
      </w:r>
      <w:r>
        <w:rPr>
          <w:rStyle w:val="VerbatimChar"/>
        </w:rPr>
        <w:t xml:space="preserve">spanner/patch</w:t>
      </w:r>
      <w:r>
        <w:t xml:space="preserve"> </w:t>
      </w:r>
      <w:r>
        <w:t xml:space="preserve">onto the merged PR #95 branch while keeping PATCH</w:t>
      </w:r>
      <w:r>
        <w:t xml:space="preserve"> </w:t>
      </w:r>
      <w:r>
        <w:t xml:space="preserve">unsupported.</w:t>
      </w:r>
    </w:p>
    <w:p>
      <w:pPr>
        <w:pStyle w:val="Compact"/>
        <w:numPr>
          <w:ilvl w:val="0"/>
          <w:numId w:val="1007"/>
        </w:numPr>
      </w:pPr>
      <w:r>
        <w:t xml:space="preserve">Verify required JSON functions against emulator</w:t>
      </w:r>
      <w:r>
        <w:t xml:space="preserve"> </w:t>
      </w:r>
      <w:r>
        <w:rPr>
          <w:rStyle w:val="VerbatimChar"/>
        </w:rPr>
        <w:t xml:space="preserve">1.5.56</w:t>
      </w:r>
      <w:r>
        <w:t xml:space="preserve"> </w:t>
      </w:r>
      <w:r>
        <w:t xml:space="preserve">and a real Spanner</w:t>
      </w:r>
      <w:r>
        <w:t xml:space="preserve"> </w:t>
      </w:r>
      <w:r>
        <w:t xml:space="preserve">database.</w:t>
      </w:r>
    </w:p>
    <w:p>
      <w:pPr>
        <w:pStyle w:val="Compact"/>
        <w:numPr>
          <w:ilvl w:val="0"/>
          <w:numId w:val="1007"/>
        </w:numPr>
      </w:pPr>
      <w:r>
        <w:t xml:space="preserve">Implement the validated PATCH-to-DML compiler.</w:t>
      </w:r>
    </w:p>
    <w:p>
      <w:pPr>
        <w:pStyle w:val="Compact"/>
        <w:numPr>
          <w:ilvl w:val="0"/>
          <w:numId w:val="1007"/>
        </w:numPr>
      </w:pPr>
      <w:r>
        <w:t xml:space="preserve">Add zero-row rejection classification.</w:t>
      </w:r>
    </w:p>
    <w:p>
      <w:pPr>
        <w:pStyle w:val="Compact"/>
        <w:numPr>
          <w:ilvl w:val="0"/>
          <w:numId w:val="1007"/>
        </w:numPr>
      </w:pPr>
      <w:r>
        <w:t xml:space="preserve">Complete envelope migration and physical-mirror handling.</w:t>
      </w:r>
    </w:p>
    <w:p>
      <w:pPr>
        <w:pStyle w:val="Compact"/>
        <w:numPr>
          <w:ilvl w:val="0"/>
          <w:numId w:val="1007"/>
        </w:numPr>
      </w:pPr>
      <w:r>
        <w:t xml:space="preserve">Run the shared PATCH conformance suite.</w:t>
      </w:r>
    </w:p>
    <w:p>
      <w:pPr>
        <w:pStyle w:val="Compact"/>
        <w:numPr>
          <w:ilvl w:val="0"/>
          <w:numId w:val="1007"/>
        </w:numPr>
      </w:pPr>
      <w:r>
        <w:t xml:space="preserve">Enable only the capabilities proven by the tests.</w:t>
      </w:r>
    </w:p>
    <w:bookmarkEnd w:id="23"/>
    <w:bookmarkStart w:id="24" w:name="X31a6cfd4e487453fb0228d62d03828dd1a3e72d"/>
    <w:p>
      <w:pPr>
        <w:pStyle w:val="Heading2"/>
      </w:pPr>
      <w:r>
        <w:t xml:space="preserve">9. Release gates</w:t>
      </w:r>
    </w:p>
    <w:p>
      <w:pPr>
        <w:pStyle w:val="FirstParagraph"/>
      </w:pPr>
      <w:r>
        <w:t xml:space="preserve">The Spanner PR is ready only when:</w:t>
      </w:r>
    </w:p>
    <w:p>
      <w:pPr>
        <w:pStyle w:val="Compact"/>
        <w:numPr>
          <w:ilvl w:val="0"/>
          <w:numId w:val="1008"/>
        </w:numPr>
      </w:pPr>
      <w:r>
        <w:t xml:space="preserve">a successful PATCH uses one server-side DML statement and no point read;</w:t>
      </w:r>
    </w:p>
    <w:p>
      <w:pPr>
        <w:pStyle w:val="Compact"/>
        <w:numPr>
          <w:ilvl w:val="0"/>
          <w:numId w:val="1008"/>
        </w:numPr>
      </w:pPr>
      <w:r>
        <w:t xml:space="preserve">all operations are atomic;</w:t>
      </w:r>
    </w:p>
    <w:p>
      <w:pPr>
        <w:pStyle w:val="Compact"/>
        <w:numPr>
          <w:ilvl w:val="0"/>
          <w:numId w:val="1008"/>
        </w:numPr>
      </w:pPr>
      <w:r>
        <w:t xml:space="preserve">concurrent increments lose no updates;</w:t>
      </w:r>
    </w:p>
    <w:p>
      <w:pPr>
        <w:pStyle w:val="Compact"/>
        <w:numPr>
          <w:ilvl w:val="0"/>
          <w:numId w:val="1008"/>
        </w:numPr>
      </w:pPr>
      <w:r>
        <w:t xml:space="preserve">legacy rows have explicit migration behavior;</w:t>
      </w:r>
    </w:p>
    <w:p>
      <w:pPr>
        <w:pStyle w:val="Compact"/>
        <w:numPr>
          <w:ilvl w:val="0"/>
          <w:numId w:val="1008"/>
        </w:numPr>
      </w:pPr>
      <w:r>
        <w:t xml:space="preserve">physical mirrors cannot remain stale;</w:t>
      </w:r>
    </w:p>
    <w:p>
      <w:pPr>
        <w:pStyle w:val="Compact"/>
        <w:numPr>
          <w:ilvl w:val="0"/>
          <w:numId w:val="1008"/>
        </w:numPr>
      </w:pPr>
      <w:r>
        <w:t xml:space="preserve">reads, queries, and change feeds agree;</w:t>
      </w:r>
    </w:p>
    <w:p>
      <w:pPr>
        <w:pStyle w:val="Compact"/>
        <w:numPr>
          <w:ilvl w:val="0"/>
          <w:numId w:val="1008"/>
        </w:numPr>
      </w:pPr>
      <w:r>
        <w:t xml:space="preserve">emulator and real-service tests pass;</w:t>
      </w:r>
    </w:p>
    <w:p>
      <w:pPr>
        <w:pStyle w:val="Compact"/>
        <w:numPr>
          <w:ilvl w:val="0"/>
          <w:numId w:val="1008"/>
        </w:numPr>
      </w:pPr>
      <w:r>
        <w:t xml:space="preserve">Cosmos DB and DynamoDB behavior remains unchanged.</w:t>
      </w:r>
    </w:p>
    <w:bookmarkEnd w:id="24"/>
    <w:bookmarkStart w:id="25" w:name="X14ec3db197cfc5587873e001b9523f465e9714a"/>
    <w:p>
      <w:pPr>
        <w:pStyle w:val="Heading2"/>
      </w:pPr>
      <w:r>
        <w:t xml:space="preserve">10. Cost expectation</w:t>
      </w:r>
    </w:p>
    <w:p>
      <w:pPr>
        <w:pStyle w:val="FirstParagraph"/>
      </w:pPr>
      <w:r>
        <w:t xml:space="preserve">Server-side DML removes the client read and Java document reconstruction. It</w:t>
      </w:r>
      <w:r>
        <w:t xml:space="preserve"> </w:t>
      </w:r>
      <w:r>
        <w:t xml:space="preserve">does not guarantee that Spanner updates only the changed JSON bytes internally.</w:t>
      </w:r>
    </w:p>
    <w:p>
      <w:pPr>
        <w:pStyle w:val="BodyText"/>
      </w:pPr>
      <w:r>
        <w:t xml:space="preserve">The correct claim is:</w:t>
      </w:r>
    </w:p>
    <w:p>
      <w:pPr>
        <w:pStyle w:val="BlockText"/>
      </w:pPr>
      <w:r>
        <w:t xml:space="preserve">Spanner PATCH provides an atomic server-side field-mutation interface, not a</w:t>
      </w:r>
      <w:r>
        <w:t xml:space="preserve"> </w:t>
      </w:r>
      <w:r>
        <w:t xml:space="preserve">guaranteed byte-level or billing reduction.</w:t>
      </w:r>
    </w:p>
    <w:bookmarkEnd w:id="25"/>
    <w:bookmarkStart w:id="26" w:name="Xfab9b23fa106d511e09e210125c8dcea5d76bc9"/>
    <w:p>
      <w:pPr>
        <w:pStyle w:val="Heading2"/>
      </w:pPr>
      <w:r>
        <w:t xml:space="preserve">11. Final recommendation</w:t>
      </w:r>
    </w:p>
    <w:p>
      <w:pPr>
        <w:pStyle w:val="FirstParagraph"/>
      </w:pPr>
      <w:r>
        <w:t xml:space="preserve">Keep Spanner unsupported in PR #95. In the separate Spanner PR, replace the</w:t>
      </w:r>
      <w:r>
        <w:t xml:space="preserve"> </w:t>
      </w:r>
      <w:r>
        <w:t xml:space="preserve">prototype's Java read-modify-write success path with one conditional GoogleSQL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 solve envelope migration and mirror consistency, then enable</w:t>
      </w:r>
      <w:r>
        <w:t xml:space="preserve"> </w:t>
      </w:r>
      <w:r>
        <w:t xml:space="preserve">capabilities only after shared conformance passes.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hyperlink" Id="rId9" Target="desig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2026-08-20T23:33:26Z</dcterms:created>
  <dcterms:modified xsi:type="dcterms:W3CDTF">2026-08-20T23:33:26Z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