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5FE0" w14:textId="77777777" w:rsidR="00F94776" w:rsidRDefault="00000000">
      <w:pPr>
        <w:pStyle w:val="Title"/>
        <w:jc w:val="center"/>
      </w:pPr>
      <w:r>
        <w:t>Bacchus Winery Management Reports</w:t>
      </w:r>
    </w:p>
    <w:p w14:paraId="04B3F902" w14:textId="77777777" w:rsidR="00F94776" w:rsidRDefault="00000000">
      <w:pPr>
        <w:spacing w:after="280"/>
        <w:jc w:val="center"/>
        <w:rPr>
          <w:rFonts w:hint="eastAsia"/>
        </w:rPr>
      </w:pPr>
      <w:r>
        <w:rPr>
          <w:b/>
          <w:color w:val="1F4E78"/>
          <w:sz w:val="30"/>
        </w:rPr>
        <w:t>Case Study Project Milestone 3</w:t>
      </w:r>
    </w:p>
    <w:tbl>
      <w:tblPr>
        <w:tblW w:w="0" w:type="auto"/>
        <w:jc w:val="center"/>
        <w:tblLayout w:type="fixed"/>
        <w:tblLook w:val="04A0" w:firstRow="1" w:lastRow="0" w:firstColumn="1" w:lastColumn="0" w:noHBand="0" w:noVBand="1"/>
      </w:tblPr>
      <w:tblGrid>
        <w:gridCol w:w="4968"/>
        <w:gridCol w:w="4968"/>
      </w:tblGrid>
      <w:tr w:rsidR="00F94776" w14:paraId="460DF7DF" w14:textId="77777777">
        <w:trPr>
          <w:jc w:val="center"/>
        </w:trPr>
        <w:tc>
          <w:tcPr>
            <w:tcW w:w="4968" w:type="dxa"/>
            <w:shd w:val="clear" w:color="auto" w:fill="1F4E78"/>
            <w:tcMar>
              <w:top w:w="90" w:type="dxa"/>
              <w:left w:w="100" w:type="dxa"/>
              <w:bottom w:w="90" w:type="dxa"/>
              <w:right w:w="100" w:type="dxa"/>
            </w:tcMar>
            <w:vAlign w:val="center"/>
          </w:tcPr>
          <w:p w14:paraId="07647308" w14:textId="77777777" w:rsidR="00F94776" w:rsidRDefault="00000000">
            <w:pPr>
              <w:rPr>
                <w:rFonts w:hint="eastAsia"/>
              </w:rPr>
            </w:pPr>
            <w:r>
              <w:rPr>
                <w:b/>
                <w:color w:val="FFFFFF"/>
              </w:rPr>
              <w:t>Group</w:t>
            </w:r>
          </w:p>
        </w:tc>
        <w:tc>
          <w:tcPr>
            <w:tcW w:w="4968" w:type="dxa"/>
            <w:shd w:val="clear" w:color="auto" w:fill="F3F6F8"/>
            <w:tcMar>
              <w:top w:w="90" w:type="dxa"/>
              <w:left w:w="100" w:type="dxa"/>
              <w:bottom w:w="90" w:type="dxa"/>
              <w:right w:w="100" w:type="dxa"/>
            </w:tcMar>
            <w:vAlign w:val="center"/>
          </w:tcPr>
          <w:p w14:paraId="339DC150" w14:textId="77777777" w:rsidR="00F94776" w:rsidRDefault="00000000">
            <w:pPr>
              <w:rPr>
                <w:rFonts w:hint="eastAsia"/>
              </w:rPr>
            </w:pPr>
            <w:r>
              <w:t>Group C</w:t>
            </w:r>
          </w:p>
        </w:tc>
      </w:tr>
      <w:tr w:rsidR="00F94776" w14:paraId="253111DC" w14:textId="77777777">
        <w:trPr>
          <w:jc w:val="center"/>
        </w:trPr>
        <w:tc>
          <w:tcPr>
            <w:tcW w:w="4968" w:type="dxa"/>
            <w:shd w:val="clear" w:color="auto" w:fill="1F4E78"/>
            <w:tcMar>
              <w:top w:w="90" w:type="dxa"/>
              <w:left w:w="100" w:type="dxa"/>
              <w:bottom w:w="90" w:type="dxa"/>
              <w:right w:w="100" w:type="dxa"/>
            </w:tcMar>
            <w:vAlign w:val="center"/>
          </w:tcPr>
          <w:p w14:paraId="20EB0FBD" w14:textId="77777777" w:rsidR="00F94776" w:rsidRDefault="00000000">
            <w:pPr>
              <w:rPr>
                <w:rFonts w:hint="eastAsia"/>
              </w:rPr>
            </w:pPr>
            <w:r>
              <w:rPr>
                <w:b/>
                <w:color w:val="FFFFFF"/>
              </w:rPr>
              <w:t>Members</w:t>
            </w:r>
          </w:p>
        </w:tc>
        <w:tc>
          <w:tcPr>
            <w:tcW w:w="4968" w:type="dxa"/>
            <w:shd w:val="clear" w:color="auto" w:fill="F3F6F8"/>
            <w:tcMar>
              <w:top w:w="90" w:type="dxa"/>
              <w:left w:w="100" w:type="dxa"/>
              <w:bottom w:w="90" w:type="dxa"/>
              <w:right w:w="100" w:type="dxa"/>
            </w:tcMar>
            <w:vAlign w:val="center"/>
          </w:tcPr>
          <w:p w14:paraId="74C78472" w14:textId="77777777" w:rsidR="00F94776" w:rsidRDefault="00000000">
            <w:pPr>
              <w:rPr>
                <w:rFonts w:hint="eastAsia"/>
              </w:rPr>
            </w:pPr>
            <w:r>
              <w:t>Neosha Allen, Prince Hubbard, Nicholas Zankl</w:t>
            </w:r>
          </w:p>
        </w:tc>
      </w:tr>
      <w:tr w:rsidR="00F94776" w14:paraId="0DF0BBE2" w14:textId="77777777">
        <w:trPr>
          <w:jc w:val="center"/>
        </w:trPr>
        <w:tc>
          <w:tcPr>
            <w:tcW w:w="4968" w:type="dxa"/>
            <w:shd w:val="clear" w:color="auto" w:fill="1F4E78"/>
            <w:tcMar>
              <w:top w:w="90" w:type="dxa"/>
              <w:left w:w="100" w:type="dxa"/>
              <w:bottom w:w="90" w:type="dxa"/>
              <w:right w:w="100" w:type="dxa"/>
            </w:tcMar>
            <w:vAlign w:val="center"/>
          </w:tcPr>
          <w:p w14:paraId="6686F5EB" w14:textId="77777777" w:rsidR="00F94776" w:rsidRDefault="00000000">
            <w:pPr>
              <w:rPr>
                <w:rFonts w:hint="eastAsia"/>
              </w:rPr>
            </w:pPr>
            <w:r>
              <w:rPr>
                <w:b/>
                <w:color w:val="FFFFFF"/>
              </w:rPr>
              <w:t>Date</w:t>
            </w:r>
          </w:p>
        </w:tc>
        <w:tc>
          <w:tcPr>
            <w:tcW w:w="4968" w:type="dxa"/>
            <w:shd w:val="clear" w:color="auto" w:fill="F3F6F8"/>
            <w:tcMar>
              <w:top w:w="90" w:type="dxa"/>
              <w:left w:w="100" w:type="dxa"/>
              <w:bottom w:w="90" w:type="dxa"/>
              <w:right w:w="100" w:type="dxa"/>
            </w:tcMar>
            <w:vAlign w:val="center"/>
          </w:tcPr>
          <w:p w14:paraId="62951FC5" w14:textId="77777777" w:rsidR="00F94776" w:rsidRDefault="00000000">
            <w:pPr>
              <w:rPr>
                <w:rFonts w:hint="eastAsia"/>
              </w:rPr>
            </w:pPr>
            <w:r>
              <w:t>September 25, 2026</w:t>
            </w:r>
          </w:p>
        </w:tc>
      </w:tr>
      <w:tr w:rsidR="00F94776" w14:paraId="37D42C93" w14:textId="77777777">
        <w:trPr>
          <w:jc w:val="center"/>
        </w:trPr>
        <w:tc>
          <w:tcPr>
            <w:tcW w:w="4968" w:type="dxa"/>
            <w:shd w:val="clear" w:color="auto" w:fill="1F4E78"/>
            <w:tcMar>
              <w:top w:w="90" w:type="dxa"/>
              <w:left w:w="100" w:type="dxa"/>
              <w:bottom w:w="90" w:type="dxa"/>
              <w:right w:w="100" w:type="dxa"/>
            </w:tcMar>
            <w:vAlign w:val="center"/>
          </w:tcPr>
          <w:p w14:paraId="6764957B" w14:textId="77777777" w:rsidR="00F94776" w:rsidRDefault="00000000">
            <w:pPr>
              <w:rPr>
                <w:rFonts w:hint="eastAsia"/>
              </w:rPr>
            </w:pPr>
            <w:r>
              <w:rPr>
                <w:b/>
                <w:color w:val="FFFFFF"/>
              </w:rPr>
              <w:t>Assignment</w:t>
            </w:r>
          </w:p>
        </w:tc>
        <w:tc>
          <w:tcPr>
            <w:tcW w:w="4968" w:type="dxa"/>
            <w:shd w:val="clear" w:color="auto" w:fill="F3F6F8"/>
            <w:tcMar>
              <w:top w:w="90" w:type="dxa"/>
              <w:left w:w="100" w:type="dxa"/>
              <w:bottom w:w="90" w:type="dxa"/>
              <w:right w:w="100" w:type="dxa"/>
            </w:tcMar>
            <w:vAlign w:val="center"/>
          </w:tcPr>
          <w:p w14:paraId="18C77B5C" w14:textId="77777777" w:rsidR="00F94776" w:rsidRDefault="00000000">
            <w:pPr>
              <w:rPr>
                <w:rFonts w:hint="eastAsia"/>
              </w:rPr>
            </w:pPr>
            <w:r>
              <w:t>CSD-310 Module 10.1 Milestone #3</w:t>
            </w:r>
          </w:p>
        </w:tc>
      </w:tr>
    </w:tbl>
    <w:p w14:paraId="61BEC710" w14:textId="77777777" w:rsidR="00F94776" w:rsidRDefault="00F94776">
      <w:pPr>
        <w:rPr>
          <w:rFonts w:hint="eastAsia"/>
        </w:rPr>
      </w:pPr>
    </w:p>
    <w:p w14:paraId="6EE78B79" w14:textId="77777777" w:rsidR="00F94776" w:rsidRDefault="00000000">
      <w:pPr>
        <w:pStyle w:val="Heading1"/>
      </w:pPr>
      <w:r>
        <w:t>Executive Summary</w:t>
      </w:r>
    </w:p>
    <w:p w14:paraId="43DE98EB" w14:textId="77777777" w:rsidR="00F94776" w:rsidRDefault="00000000">
      <w:pPr>
        <w:rPr>
          <w:rFonts w:hint="eastAsia"/>
        </w:rPr>
      </w:pPr>
      <w:r>
        <w:t>This milestone presents three database reports that support the Bacchus Winery case study decisions. The reports evaluate supplier reliability, distributor sales activity, and quarterly labor usage. Together, they give management a clear view of operational performance using the normalized database created in the earlier milestones.</w:t>
      </w:r>
    </w:p>
    <w:tbl>
      <w:tblPr>
        <w:tblW w:w="0" w:type="auto"/>
        <w:jc w:val="center"/>
        <w:tblLook w:val="04A0" w:firstRow="1" w:lastRow="0" w:firstColumn="1" w:lastColumn="0" w:noHBand="0" w:noVBand="1"/>
      </w:tblPr>
      <w:tblGrid>
        <w:gridCol w:w="9936"/>
      </w:tblGrid>
      <w:tr w:rsidR="00F94776" w14:paraId="24F4BAF7" w14:textId="77777777">
        <w:trPr>
          <w:jc w:val="center"/>
        </w:trPr>
        <w:tc>
          <w:tcPr>
            <w:tcW w:w="9936" w:type="dxa"/>
            <w:shd w:val="clear" w:color="auto" w:fill="D9EAF7"/>
            <w:tcMar>
              <w:top w:w="120" w:type="dxa"/>
              <w:left w:w="130" w:type="dxa"/>
              <w:bottom w:w="120" w:type="dxa"/>
              <w:right w:w="130" w:type="dxa"/>
            </w:tcMar>
          </w:tcPr>
          <w:p w14:paraId="4D9D41DE" w14:textId="77777777" w:rsidR="00F94776" w:rsidRDefault="00000000">
            <w:pPr>
              <w:spacing w:after="0"/>
              <w:rPr>
                <w:rFonts w:hint="eastAsia"/>
              </w:rPr>
            </w:pPr>
            <w:r>
              <w:rPr>
                <w:b/>
              </w:rPr>
              <w:t xml:space="preserve">Management takeaway: </w:t>
            </w:r>
            <w:r>
              <w:t>Supplier deliveries are generally on time, Pacific Wine Logistics is the top distributor by cases and value, and Production has the highest quarterly labor demand.</w:t>
            </w:r>
          </w:p>
        </w:tc>
      </w:tr>
    </w:tbl>
    <w:p w14:paraId="5BB55CFC" w14:textId="77777777" w:rsidR="00F94776" w:rsidRDefault="00000000">
      <w:pPr>
        <w:rPr>
          <w:rFonts w:hint="eastAsia"/>
        </w:rPr>
      </w:pPr>
      <w:r>
        <w:br w:type="page"/>
      </w:r>
    </w:p>
    <w:p w14:paraId="57BD25C8" w14:textId="77777777" w:rsidR="00F94776" w:rsidRDefault="00000000">
      <w:pPr>
        <w:pStyle w:val="Heading1"/>
      </w:pPr>
      <w:r>
        <w:lastRenderedPageBreak/>
        <w:t>Revised Entity Relationship Diagram</w:t>
      </w:r>
    </w:p>
    <w:p w14:paraId="0E5F5BA0" w14:textId="77777777" w:rsidR="00F94776" w:rsidRDefault="00000000">
      <w:pPr>
        <w:rPr>
          <w:rFonts w:hint="eastAsia"/>
        </w:rPr>
      </w:pPr>
      <w:r>
        <w:t>The revised ERD below preserves the Third Normal Form design from Milestone 2. It separates procurement and production from distribution and labor while retaining the foreign-key relationships required by the three reports.</w:t>
      </w:r>
    </w:p>
    <w:p w14:paraId="7B4AC72A" w14:textId="77777777" w:rsidR="00F94776" w:rsidRDefault="00000000">
      <w:pPr>
        <w:rPr>
          <w:rFonts w:hint="eastAsia"/>
        </w:rPr>
      </w:pPr>
      <w:r>
        <w:rPr>
          <w:noProof/>
        </w:rPr>
        <w:drawing>
          <wp:inline distT="0" distB="0" distL="0" distR="0" wp14:anchorId="37D88AA8" wp14:editId="094C19BD">
            <wp:extent cx="5989320" cy="3354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3354019"/>
                    </a:xfrm>
                    <a:prstGeom prst="rect">
                      <a:avLst/>
                    </a:prstGeom>
                  </pic:spPr>
                </pic:pic>
              </a:graphicData>
            </a:graphic>
          </wp:inline>
        </w:drawing>
      </w:r>
    </w:p>
    <w:p w14:paraId="7EC77F61" w14:textId="77777777" w:rsidR="00F94776" w:rsidRDefault="00000000">
      <w:pPr>
        <w:jc w:val="center"/>
        <w:rPr>
          <w:rFonts w:hint="eastAsia"/>
        </w:rPr>
      </w:pPr>
      <w:r>
        <w:rPr>
          <w:i/>
          <w:color w:val="555555"/>
          <w:sz w:val="18"/>
        </w:rPr>
        <w:t>Figure 1A  Procurement and production tables</w:t>
      </w:r>
    </w:p>
    <w:p w14:paraId="466EA672" w14:textId="77777777" w:rsidR="00F94776" w:rsidRDefault="00000000">
      <w:pPr>
        <w:rPr>
          <w:rFonts w:hint="eastAsia"/>
        </w:rPr>
      </w:pPr>
      <w:r>
        <w:rPr>
          <w:noProof/>
        </w:rPr>
        <w:drawing>
          <wp:inline distT="0" distB="0" distL="0" distR="0" wp14:anchorId="47841ECF" wp14:editId="39A311B4">
            <wp:extent cx="5988050" cy="325023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008432" cy="3261300"/>
                    </a:xfrm>
                    <a:prstGeom prst="rect">
                      <a:avLst/>
                    </a:prstGeom>
                  </pic:spPr>
                </pic:pic>
              </a:graphicData>
            </a:graphic>
          </wp:inline>
        </w:drawing>
      </w:r>
    </w:p>
    <w:p w14:paraId="1DF44725" w14:textId="77777777" w:rsidR="00F94776" w:rsidRDefault="00000000">
      <w:pPr>
        <w:jc w:val="center"/>
        <w:rPr>
          <w:rFonts w:hint="eastAsia"/>
        </w:rPr>
      </w:pPr>
      <w:r>
        <w:rPr>
          <w:i/>
          <w:color w:val="555555"/>
          <w:sz w:val="18"/>
        </w:rPr>
        <w:t>Figure 1B  Distribution and labor tables</w:t>
      </w:r>
    </w:p>
    <w:p w14:paraId="3F5A2737" w14:textId="77777777" w:rsidR="00F94776" w:rsidRDefault="00000000">
      <w:pPr>
        <w:rPr>
          <w:rFonts w:hint="eastAsia"/>
        </w:rPr>
      </w:pPr>
      <w:r>
        <w:br w:type="page"/>
      </w:r>
    </w:p>
    <w:p w14:paraId="009F3B7B" w14:textId="77777777" w:rsidR="00F94776" w:rsidRDefault="00000000">
      <w:pPr>
        <w:pStyle w:val="Heading1"/>
      </w:pPr>
      <w:r>
        <w:lastRenderedPageBreak/>
        <w:t>Report 1  Supplier Delivery Performance</w:t>
      </w:r>
    </w:p>
    <w:p w14:paraId="77B990A2" w14:textId="77777777" w:rsidR="00F94776" w:rsidRDefault="00000000">
      <w:pPr>
        <w:pStyle w:val="Heading2"/>
      </w:pPr>
      <w:r>
        <w:t>Business Purpose</w:t>
      </w:r>
    </w:p>
    <w:p w14:paraId="24EE847A" w14:textId="77777777" w:rsidR="00F94776" w:rsidRDefault="00000000">
      <w:pPr>
        <w:rPr>
          <w:rFonts w:hint="eastAsia"/>
        </w:rPr>
      </w:pPr>
      <w:r>
        <w:t>This report compares expected and actual delivery dates by supplier. It helps Stan and Davis Bacchus identify reliable vendors, monitor open orders, and recognize delivery delays before they affect production.</w:t>
      </w:r>
    </w:p>
    <w:p w14:paraId="6D5CF171" w14:textId="77777777" w:rsidR="00F94776" w:rsidRDefault="00000000">
      <w:pPr>
        <w:rPr>
          <w:rFonts w:hint="eastAsia"/>
        </w:rPr>
      </w:pPr>
      <w:r>
        <w:rPr>
          <w:noProof/>
        </w:rPr>
        <w:drawing>
          <wp:inline distT="0" distB="0" distL="0" distR="0" wp14:anchorId="0E2DF700" wp14:editId="14697539">
            <wp:extent cx="6309360" cy="1176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supplier_delivery.png"/>
                    <pic:cNvPicPr/>
                  </pic:nvPicPr>
                  <pic:blipFill>
                    <a:blip r:embed="rId10"/>
                    <a:stretch>
                      <a:fillRect/>
                    </a:stretch>
                  </pic:blipFill>
                  <pic:spPr>
                    <a:xfrm>
                      <a:off x="0" y="0"/>
                      <a:ext cx="6309360" cy="1176213"/>
                    </a:xfrm>
                    <a:prstGeom prst="rect">
                      <a:avLst/>
                    </a:prstGeom>
                  </pic:spPr>
                </pic:pic>
              </a:graphicData>
            </a:graphic>
          </wp:inline>
        </w:drawing>
      </w:r>
    </w:p>
    <w:p w14:paraId="21A773F0" w14:textId="77777777" w:rsidR="00F94776" w:rsidRDefault="00000000">
      <w:pPr>
        <w:jc w:val="center"/>
        <w:rPr>
          <w:rFonts w:hint="eastAsia"/>
        </w:rPr>
      </w:pPr>
      <w:r>
        <w:rPr>
          <w:i/>
          <w:color w:val="555555"/>
          <w:sz w:val="18"/>
        </w:rPr>
        <w:t>Figure 2  Results from supplier delivery performance</w:t>
      </w:r>
    </w:p>
    <w:tbl>
      <w:tblPr>
        <w:tblW w:w="0" w:type="auto"/>
        <w:jc w:val="center"/>
        <w:tblLook w:val="04A0" w:firstRow="1" w:lastRow="0" w:firstColumn="1" w:lastColumn="0" w:noHBand="0" w:noVBand="1"/>
      </w:tblPr>
      <w:tblGrid>
        <w:gridCol w:w="9936"/>
      </w:tblGrid>
      <w:tr w:rsidR="00F94776" w14:paraId="12082F0C" w14:textId="77777777">
        <w:trPr>
          <w:jc w:val="center"/>
        </w:trPr>
        <w:tc>
          <w:tcPr>
            <w:tcW w:w="9936" w:type="dxa"/>
            <w:shd w:val="clear" w:color="auto" w:fill="D9EAF7"/>
            <w:tcMar>
              <w:top w:w="120" w:type="dxa"/>
              <w:left w:w="130" w:type="dxa"/>
              <w:bottom w:w="120" w:type="dxa"/>
              <w:right w:w="130" w:type="dxa"/>
            </w:tcMar>
          </w:tcPr>
          <w:p w14:paraId="301789A4" w14:textId="77777777" w:rsidR="00F94776" w:rsidRDefault="00000000">
            <w:pPr>
              <w:spacing w:after="0"/>
              <w:rPr>
                <w:rFonts w:hint="eastAsia"/>
              </w:rPr>
            </w:pPr>
            <w:r>
              <w:rPr>
                <w:b/>
              </w:rPr>
              <w:t xml:space="preserve">Result interpretation: </w:t>
            </w:r>
            <w:r>
              <w:t>Apex Pack and Litho delivered both completed orders one day early. Amphora delivered both completed orders on time. Viniculture Process Systems has one on-time completed order and one pending order that requires follow-up.</w:t>
            </w:r>
          </w:p>
        </w:tc>
      </w:tr>
    </w:tbl>
    <w:p w14:paraId="5F01AA5C" w14:textId="77777777" w:rsidR="00F94776" w:rsidRDefault="00000000">
      <w:pPr>
        <w:rPr>
          <w:rFonts w:hint="eastAsia"/>
        </w:rPr>
      </w:pPr>
      <w:r>
        <w:br w:type="page"/>
      </w:r>
    </w:p>
    <w:p w14:paraId="5DF184CE" w14:textId="77777777" w:rsidR="00F94776" w:rsidRDefault="00000000">
      <w:pPr>
        <w:pStyle w:val="Heading1"/>
      </w:pPr>
      <w:r>
        <w:lastRenderedPageBreak/>
        <w:t>Report 2  Distributor Sales Performance</w:t>
      </w:r>
    </w:p>
    <w:p w14:paraId="1580B692" w14:textId="77777777" w:rsidR="00F94776" w:rsidRDefault="00000000">
      <w:pPr>
        <w:pStyle w:val="Heading2"/>
      </w:pPr>
      <w:r>
        <w:t>Business Purpose</w:t>
      </w:r>
    </w:p>
    <w:p w14:paraId="05E8A974" w14:textId="77777777" w:rsidR="00F94776" w:rsidRDefault="00000000">
      <w:pPr>
        <w:rPr>
          <w:rFonts w:hint="eastAsia"/>
        </w:rPr>
      </w:pPr>
      <w:r>
        <w:t>This report totals shipped wine cases and estimated wholesale value for each distributor. Maria Costanza can use it to compare account activity, prioritize strong relationships, and identify accounts that need attention.</w:t>
      </w:r>
    </w:p>
    <w:p w14:paraId="49B97346" w14:textId="77777777" w:rsidR="00F94776" w:rsidRDefault="00000000">
      <w:pPr>
        <w:rPr>
          <w:rFonts w:hint="eastAsia"/>
        </w:rPr>
      </w:pPr>
      <w:r>
        <w:rPr>
          <w:noProof/>
        </w:rPr>
        <w:drawing>
          <wp:inline distT="0" distB="0" distL="0" distR="0" wp14:anchorId="2CC2C45B" wp14:editId="46F396D3">
            <wp:extent cx="6309360" cy="18267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distributor_sales.png"/>
                    <pic:cNvPicPr/>
                  </pic:nvPicPr>
                  <pic:blipFill>
                    <a:blip r:embed="rId11"/>
                    <a:stretch>
                      <a:fillRect/>
                    </a:stretch>
                  </pic:blipFill>
                  <pic:spPr>
                    <a:xfrm>
                      <a:off x="0" y="0"/>
                      <a:ext cx="6309360" cy="1826798"/>
                    </a:xfrm>
                    <a:prstGeom prst="rect">
                      <a:avLst/>
                    </a:prstGeom>
                  </pic:spPr>
                </pic:pic>
              </a:graphicData>
            </a:graphic>
          </wp:inline>
        </w:drawing>
      </w:r>
    </w:p>
    <w:p w14:paraId="6A881DBE" w14:textId="77777777" w:rsidR="00F94776" w:rsidRDefault="00000000">
      <w:pPr>
        <w:jc w:val="center"/>
        <w:rPr>
          <w:rFonts w:hint="eastAsia"/>
        </w:rPr>
      </w:pPr>
      <w:r>
        <w:rPr>
          <w:i/>
          <w:color w:val="555555"/>
          <w:sz w:val="18"/>
        </w:rPr>
        <w:t>Figure 3  Results from distributor sales performance</w:t>
      </w:r>
    </w:p>
    <w:tbl>
      <w:tblPr>
        <w:tblW w:w="0" w:type="auto"/>
        <w:jc w:val="center"/>
        <w:tblLook w:val="04A0" w:firstRow="1" w:lastRow="0" w:firstColumn="1" w:lastColumn="0" w:noHBand="0" w:noVBand="1"/>
      </w:tblPr>
      <w:tblGrid>
        <w:gridCol w:w="9936"/>
      </w:tblGrid>
      <w:tr w:rsidR="00F94776" w14:paraId="639B5CD0" w14:textId="77777777">
        <w:trPr>
          <w:jc w:val="center"/>
        </w:trPr>
        <w:tc>
          <w:tcPr>
            <w:tcW w:w="9936" w:type="dxa"/>
            <w:shd w:val="clear" w:color="auto" w:fill="D9EAF7"/>
            <w:tcMar>
              <w:top w:w="120" w:type="dxa"/>
              <w:left w:w="130" w:type="dxa"/>
              <w:bottom w:w="120" w:type="dxa"/>
              <w:right w:w="130" w:type="dxa"/>
            </w:tcMar>
          </w:tcPr>
          <w:p w14:paraId="02E9EFA6" w14:textId="77777777" w:rsidR="00F94776" w:rsidRDefault="00000000">
            <w:pPr>
              <w:spacing w:after="0"/>
              <w:rPr>
                <w:rFonts w:hint="eastAsia"/>
              </w:rPr>
            </w:pPr>
            <w:r>
              <w:rPr>
                <w:b/>
              </w:rPr>
              <w:t xml:space="preserve">Result interpretation: </w:t>
            </w:r>
            <w:r>
              <w:t>Pacific Wine Logistics is the leading account with 90 cases and an estimated wholesale value of $3,060. International Fine Wines has a shipment record but no associated cases, so its order should be reviewed.</w:t>
            </w:r>
          </w:p>
        </w:tc>
      </w:tr>
    </w:tbl>
    <w:p w14:paraId="5A448988" w14:textId="77777777" w:rsidR="00F94776" w:rsidRDefault="00000000">
      <w:pPr>
        <w:rPr>
          <w:rFonts w:hint="eastAsia"/>
        </w:rPr>
      </w:pPr>
      <w:r>
        <w:br w:type="page"/>
      </w:r>
    </w:p>
    <w:p w14:paraId="125CFB74" w14:textId="77777777" w:rsidR="00F94776" w:rsidRDefault="00000000">
      <w:pPr>
        <w:pStyle w:val="Heading1"/>
      </w:pPr>
      <w:r>
        <w:lastRenderedPageBreak/>
        <w:t>Report 3  Quarterly Employee Hours by Department</w:t>
      </w:r>
    </w:p>
    <w:p w14:paraId="14274AD7" w14:textId="77777777" w:rsidR="00F94776" w:rsidRDefault="00000000">
      <w:pPr>
        <w:pStyle w:val="Heading2"/>
      </w:pPr>
      <w:r>
        <w:t>Business Purpose</w:t>
      </w:r>
    </w:p>
    <w:p w14:paraId="426EC856" w14:textId="77777777" w:rsidR="00F94776" w:rsidRDefault="00000000">
      <w:pPr>
        <w:rPr>
          <w:rFonts w:hint="eastAsia"/>
        </w:rPr>
      </w:pPr>
      <w:r>
        <w:t>This report summarizes quarterly labor hours by department. Janet Collins and department managers can use it to compare staffing demands, review workload distribution, and plan future labor assignments.</w:t>
      </w:r>
    </w:p>
    <w:p w14:paraId="2F0867DB" w14:textId="77777777" w:rsidR="00F94776" w:rsidRDefault="00000000">
      <w:pPr>
        <w:rPr>
          <w:rFonts w:hint="eastAsia"/>
        </w:rPr>
      </w:pPr>
      <w:r>
        <w:rPr>
          <w:noProof/>
        </w:rPr>
        <w:drawing>
          <wp:inline distT="0" distB="0" distL="0" distR="0" wp14:anchorId="09EDE63C" wp14:editId="06A64D83">
            <wp:extent cx="6309360" cy="24677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3_employee_hours.png"/>
                    <pic:cNvPicPr/>
                  </pic:nvPicPr>
                  <pic:blipFill>
                    <a:blip r:embed="rId12"/>
                    <a:stretch>
                      <a:fillRect/>
                    </a:stretch>
                  </pic:blipFill>
                  <pic:spPr>
                    <a:xfrm>
                      <a:off x="0" y="0"/>
                      <a:ext cx="6309360" cy="2467739"/>
                    </a:xfrm>
                    <a:prstGeom prst="rect">
                      <a:avLst/>
                    </a:prstGeom>
                  </pic:spPr>
                </pic:pic>
              </a:graphicData>
            </a:graphic>
          </wp:inline>
        </w:drawing>
      </w:r>
    </w:p>
    <w:p w14:paraId="70850383" w14:textId="77777777" w:rsidR="00F94776" w:rsidRDefault="00000000">
      <w:pPr>
        <w:jc w:val="center"/>
        <w:rPr>
          <w:rFonts w:hint="eastAsia"/>
        </w:rPr>
      </w:pPr>
      <w:r>
        <w:rPr>
          <w:i/>
          <w:color w:val="555555"/>
          <w:sz w:val="18"/>
        </w:rPr>
        <w:t>Figure 4  Results from quarterly employee hours by department</w:t>
      </w:r>
    </w:p>
    <w:tbl>
      <w:tblPr>
        <w:tblW w:w="0" w:type="auto"/>
        <w:jc w:val="center"/>
        <w:tblLook w:val="04A0" w:firstRow="1" w:lastRow="0" w:firstColumn="1" w:lastColumn="0" w:noHBand="0" w:noVBand="1"/>
      </w:tblPr>
      <w:tblGrid>
        <w:gridCol w:w="9936"/>
      </w:tblGrid>
      <w:tr w:rsidR="00F94776" w14:paraId="16A634AA" w14:textId="77777777">
        <w:trPr>
          <w:jc w:val="center"/>
        </w:trPr>
        <w:tc>
          <w:tcPr>
            <w:tcW w:w="9936" w:type="dxa"/>
            <w:shd w:val="clear" w:color="auto" w:fill="D9EAF7"/>
            <w:tcMar>
              <w:top w:w="120" w:type="dxa"/>
              <w:left w:w="130" w:type="dxa"/>
              <w:bottom w:w="120" w:type="dxa"/>
              <w:right w:w="130" w:type="dxa"/>
            </w:tcMar>
          </w:tcPr>
          <w:p w14:paraId="39E4B951" w14:textId="77777777" w:rsidR="00F94776" w:rsidRDefault="00000000">
            <w:pPr>
              <w:spacing w:after="0"/>
              <w:rPr>
                <w:rFonts w:hint="eastAsia"/>
              </w:rPr>
            </w:pPr>
            <w:r>
              <w:rPr>
                <w:b/>
              </w:rPr>
              <w:t xml:space="preserve">Result interpretation: </w:t>
            </w:r>
            <w:r>
              <w:t>Production recorded the most Q3 labor at 355 hours, followed by Marketing at 325.5 hours. Production also has the highest average hours per employee, which may justify reviewing workload and staffing capacity.</w:t>
            </w:r>
          </w:p>
        </w:tc>
      </w:tr>
    </w:tbl>
    <w:p w14:paraId="013F283E" w14:textId="77777777" w:rsidR="00F94776" w:rsidRDefault="00000000">
      <w:pPr>
        <w:rPr>
          <w:rFonts w:hint="eastAsia"/>
        </w:rPr>
      </w:pPr>
      <w:r>
        <w:br w:type="page"/>
      </w:r>
    </w:p>
    <w:p w14:paraId="6EF774C3" w14:textId="77777777" w:rsidR="00F94776" w:rsidRDefault="00000000">
      <w:pPr>
        <w:pStyle w:val="Heading1"/>
      </w:pPr>
      <w:r>
        <w:lastRenderedPageBreak/>
        <w:t>Assumptions and Query Notes</w:t>
      </w:r>
    </w:p>
    <w:p w14:paraId="26475D6B" w14:textId="77777777" w:rsidR="00F94776" w:rsidRDefault="00000000">
      <w:pPr>
        <w:pStyle w:val="ListBullet"/>
        <w:rPr>
          <w:rFonts w:hint="eastAsia"/>
        </w:rPr>
      </w:pPr>
      <w:r>
        <w:t>A delivery is on time when the actual delivery date is on or before the expected delivery date.</w:t>
      </w:r>
    </w:p>
    <w:p w14:paraId="1AD7AB90" w14:textId="77777777" w:rsidR="00F94776" w:rsidRDefault="00000000">
      <w:pPr>
        <w:pStyle w:val="ListBullet"/>
        <w:rPr>
          <w:rFonts w:hint="eastAsia"/>
        </w:rPr>
      </w:pPr>
      <w:r>
        <w:t>A NULL actual delivery date represents an open or pending supply order and is excluded from the average delivery variance.</w:t>
      </w:r>
    </w:p>
    <w:p w14:paraId="5EDD770C" w14:textId="77777777" w:rsidR="00F94776" w:rsidRDefault="00000000">
      <w:pPr>
        <w:pStyle w:val="ListBullet"/>
        <w:rPr>
          <w:rFonts w:hint="eastAsia"/>
        </w:rPr>
      </w:pPr>
      <w:r>
        <w:t>Wholesale value is estimated as shipped cases multiplied by the wine unit price stored in the wines table.</w:t>
      </w:r>
    </w:p>
    <w:p w14:paraId="712CE8FD" w14:textId="77777777" w:rsidR="00F94776" w:rsidRDefault="00000000">
      <w:pPr>
        <w:pStyle w:val="ListBullet"/>
        <w:rPr>
          <w:rFonts w:hint="eastAsia"/>
        </w:rPr>
      </w:pPr>
      <w:r>
        <w:t>Quarterly labor results use the quarter number and work year stored in each timesheet record.</w:t>
      </w:r>
    </w:p>
    <w:p w14:paraId="62F325BF" w14:textId="77777777" w:rsidR="00F94776" w:rsidRDefault="00000000">
      <w:pPr>
        <w:pStyle w:val="ListBullet"/>
        <w:rPr>
          <w:rFonts w:hint="eastAsia"/>
        </w:rPr>
      </w:pPr>
      <w:r>
        <w:t>Distributor accounts with shipments but no shipment items remain visible so management can investigate incomplete transactions.</w:t>
      </w:r>
    </w:p>
    <w:p w14:paraId="24FC09B3" w14:textId="77777777" w:rsidR="00F94776" w:rsidRDefault="00000000">
      <w:pPr>
        <w:pStyle w:val="Heading1"/>
      </w:pPr>
      <w:r>
        <w:t>Files Included in Submission</w:t>
      </w:r>
    </w:p>
    <w:tbl>
      <w:tblPr>
        <w:tblStyle w:val="TableGrid"/>
        <w:tblW w:w="0" w:type="auto"/>
        <w:jc w:val="center"/>
        <w:tblLook w:val="04A0" w:firstRow="1" w:lastRow="0" w:firstColumn="1" w:lastColumn="0" w:noHBand="0" w:noVBand="1"/>
      </w:tblPr>
      <w:tblGrid>
        <w:gridCol w:w="4968"/>
        <w:gridCol w:w="4968"/>
      </w:tblGrid>
      <w:tr w:rsidR="00F94776" w14:paraId="0D17B3F9" w14:textId="77777777">
        <w:trPr>
          <w:jc w:val="center"/>
        </w:trPr>
        <w:tc>
          <w:tcPr>
            <w:tcW w:w="4968" w:type="dxa"/>
            <w:shd w:val="clear" w:color="auto" w:fill="1F4E78"/>
          </w:tcPr>
          <w:p w14:paraId="740CCE6C" w14:textId="77777777" w:rsidR="00F94776" w:rsidRDefault="00000000">
            <w:pPr>
              <w:rPr>
                <w:rFonts w:hint="eastAsia"/>
              </w:rPr>
            </w:pPr>
            <w:r>
              <w:rPr>
                <w:b/>
                <w:color w:val="FFFFFF"/>
              </w:rPr>
              <w:t>File</w:t>
            </w:r>
          </w:p>
        </w:tc>
        <w:tc>
          <w:tcPr>
            <w:tcW w:w="4968" w:type="dxa"/>
            <w:shd w:val="clear" w:color="auto" w:fill="1F4E78"/>
          </w:tcPr>
          <w:p w14:paraId="2A58007E" w14:textId="77777777" w:rsidR="00F94776" w:rsidRDefault="00000000">
            <w:pPr>
              <w:rPr>
                <w:rFonts w:hint="eastAsia"/>
              </w:rPr>
            </w:pPr>
            <w:r>
              <w:rPr>
                <w:b/>
                <w:color w:val="FFFFFF"/>
              </w:rPr>
              <w:t>Purpose</w:t>
            </w:r>
          </w:p>
        </w:tc>
      </w:tr>
      <w:tr w:rsidR="00F94776" w14:paraId="503598FC" w14:textId="77777777">
        <w:trPr>
          <w:jc w:val="center"/>
        </w:trPr>
        <w:tc>
          <w:tcPr>
            <w:tcW w:w="4968" w:type="dxa"/>
            <w:tcMar>
              <w:top w:w="90" w:type="dxa"/>
              <w:left w:w="100" w:type="dxa"/>
              <w:bottom w:w="90" w:type="dxa"/>
              <w:right w:w="100" w:type="dxa"/>
            </w:tcMar>
          </w:tcPr>
          <w:p w14:paraId="616014E6" w14:textId="77777777" w:rsidR="00F94776" w:rsidRDefault="00000000">
            <w:pPr>
              <w:rPr>
                <w:rFonts w:hint="eastAsia"/>
              </w:rPr>
            </w:pPr>
            <w:r>
              <w:t>bacchus_reports.py</w:t>
            </w:r>
          </w:p>
        </w:tc>
        <w:tc>
          <w:tcPr>
            <w:tcW w:w="4968" w:type="dxa"/>
            <w:tcMar>
              <w:top w:w="90" w:type="dxa"/>
              <w:left w:w="100" w:type="dxa"/>
              <w:bottom w:w="90" w:type="dxa"/>
              <w:right w:w="100" w:type="dxa"/>
            </w:tcMar>
          </w:tcPr>
          <w:p w14:paraId="3E0E934C" w14:textId="77777777" w:rsidR="00F94776" w:rsidRDefault="00000000">
            <w:pPr>
              <w:rPr>
                <w:rFonts w:hint="eastAsia"/>
              </w:rPr>
            </w:pPr>
            <w:r>
              <w:t>Runs all three management report queries.</w:t>
            </w:r>
          </w:p>
        </w:tc>
      </w:tr>
      <w:tr w:rsidR="00F94776" w14:paraId="45E05AD3" w14:textId="77777777">
        <w:trPr>
          <w:jc w:val="center"/>
        </w:trPr>
        <w:tc>
          <w:tcPr>
            <w:tcW w:w="4968" w:type="dxa"/>
            <w:tcMar>
              <w:top w:w="90" w:type="dxa"/>
              <w:left w:w="100" w:type="dxa"/>
              <w:bottom w:w="90" w:type="dxa"/>
              <w:right w:w="100" w:type="dxa"/>
            </w:tcMar>
          </w:tcPr>
          <w:p w14:paraId="333AD53D" w14:textId="77777777" w:rsidR="00F94776" w:rsidRDefault="00000000">
            <w:pPr>
              <w:rPr>
                <w:rFonts w:hint="eastAsia"/>
              </w:rPr>
            </w:pPr>
            <w:r>
              <w:t>Group_C_Milestone_3.docx</w:t>
            </w:r>
          </w:p>
        </w:tc>
        <w:tc>
          <w:tcPr>
            <w:tcW w:w="4968" w:type="dxa"/>
            <w:tcMar>
              <w:top w:w="90" w:type="dxa"/>
              <w:left w:w="100" w:type="dxa"/>
              <w:bottom w:w="90" w:type="dxa"/>
              <w:right w:w="100" w:type="dxa"/>
            </w:tcMar>
          </w:tcPr>
          <w:p w14:paraId="731348E4" w14:textId="77777777" w:rsidR="00F94776" w:rsidRDefault="00000000">
            <w:pPr>
              <w:rPr>
                <w:rFonts w:hint="eastAsia"/>
              </w:rPr>
            </w:pPr>
            <w:r>
              <w:t>Documents the ERD, report descriptions, results, and assumptions.</w:t>
            </w:r>
          </w:p>
        </w:tc>
      </w:tr>
    </w:tbl>
    <w:p w14:paraId="4B091E34" w14:textId="77777777" w:rsidR="0025794A" w:rsidRDefault="0025794A"/>
    <w:sectPr w:rsidR="0025794A" w:rsidSect="00034616">
      <w:footerReference w:type="default" r:id="rId13"/>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16620" w14:textId="77777777" w:rsidR="0025794A" w:rsidRDefault="0025794A">
      <w:pPr>
        <w:spacing w:after="0" w:line="240" w:lineRule="auto"/>
        <w:rPr>
          <w:rFonts w:hint="eastAsia"/>
        </w:rPr>
      </w:pPr>
      <w:r>
        <w:separator/>
      </w:r>
    </w:p>
  </w:endnote>
  <w:endnote w:type="continuationSeparator" w:id="0">
    <w:p w14:paraId="4BB12E6B" w14:textId="77777777" w:rsidR="0025794A" w:rsidRDefault="002579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BFB8" w14:textId="77777777" w:rsidR="00F94776" w:rsidRDefault="00000000">
    <w:pPr>
      <w:pStyle w:val="Footer"/>
      <w:jc w:val="center"/>
      <w:rPr>
        <w:rFonts w:hint="eastAsia"/>
      </w:rPr>
    </w:pPr>
    <w:r>
      <w:rPr>
        <w:color w:val="555555"/>
        <w:sz w:val="17"/>
      </w:rPr>
      <w:t xml:space="preserve">Group </w:t>
    </w:r>
    <w:proofErr w:type="gramStart"/>
    <w:r>
      <w:rPr>
        <w:color w:val="555555"/>
        <w:sz w:val="17"/>
      </w:rPr>
      <w:t>C  |</w:t>
    </w:r>
    <w:proofErr w:type="gramEnd"/>
    <w:r>
      <w:rPr>
        <w:color w:val="555555"/>
        <w:sz w:val="17"/>
      </w:rPr>
      <w:t xml:space="preserve">  CSD-310 Module 10.1 Milestone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DA511" w14:textId="77777777" w:rsidR="0025794A" w:rsidRDefault="0025794A">
      <w:pPr>
        <w:spacing w:after="0" w:line="240" w:lineRule="auto"/>
        <w:rPr>
          <w:rFonts w:hint="eastAsia"/>
        </w:rPr>
      </w:pPr>
      <w:r>
        <w:separator/>
      </w:r>
    </w:p>
  </w:footnote>
  <w:footnote w:type="continuationSeparator" w:id="0">
    <w:p w14:paraId="23021FFE" w14:textId="77777777" w:rsidR="0025794A" w:rsidRDefault="0025794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248604">
    <w:abstractNumId w:val="8"/>
  </w:num>
  <w:num w:numId="2" w16cid:durableId="1888567363">
    <w:abstractNumId w:val="6"/>
  </w:num>
  <w:num w:numId="3" w16cid:durableId="2043894016">
    <w:abstractNumId w:val="5"/>
  </w:num>
  <w:num w:numId="4" w16cid:durableId="1871988781">
    <w:abstractNumId w:val="4"/>
  </w:num>
  <w:num w:numId="5" w16cid:durableId="1866361618">
    <w:abstractNumId w:val="7"/>
  </w:num>
  <w:num w:numId="6" w16cid:durableId="1511870044">
    <w:abstractNumId w:val="3"/>
  </w:num>
  <w:num w:numId="7" w16cid:durableId="622882386">
    <w:abstractNumId w:val="2"/>
  </w:num>
  <w:num w:numId="8" w16cid:durableId="2096514263">
    <w:abstractNumId w:val="1"/>
  </w:num>
  <w:num w:numId="9" w16cid:durableId="204787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94A"/>
    <w:rsid w:val="0029639D"/>
    <w:rsid w:val="00326F90"/>
    <w:rsid w:val="00AA1D8D"/>
    <w:rsid w:val="00B47730"/>
    <w:rsid w:val="00B553BC"/>
    <w:rsid w:val="00CB0664"/>
    <w:rsid w:val="00D35806"/>
    <w:rsid w:val="00F94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A42FD"/>
  <w14:defaultImageDpi w14:val="300"/>
  <w15:docId w15:val="{7F10666F-40D7-4BEF-88B1-869F0225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Zankl</cp:lastModifiedBy>
  <cp:revision>3</cp:revision>
  <dcterms:created xsi:type="dcterms:W3CDTF">2013-12-23T23:15:00Z</dcterms:created>
  <dcterms:modified xsi:type="dcterms:W3CDTF">2026-09-29T00:41:00Z</dcterms:modified>
  <cp:category/>
</cp:coreProperties>
</file>