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F58B0">
      <w:pPr>
        <w:spacing w:after="0" w:line="276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全国销售网络作战地图系统 - 需求说明书 V1.0</w:t>
      </w:r>
    </w:p>
    <w:p w14:paraId="70BB56FA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文档版本：V1.0 编写日期：2026-08-03 文档状态：待评审</w:t>
      </w:r>
    </w:p>
    <w:p w14:paraId="3F495D64">
      <w:pPr>
        <w:spacing w:after="0" w:line="276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一、背景</w:t>
      </w:r>
    </w:p>
    <w:p w14:paraId="565B6EA6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公司面向以下行业单位销售产品：</w:t>
      </w:r>
      <w:r>
        <w:rPr>
          <w:b/>
          <w:bCs/>
          <w:sz w:val="24"/>
          <w:szCs w:val="28"/>
        </w:rPr>
        <w:t>高校、疾控中心、食品药品检验机构、环保监测站、公安刑侦/技术侦察部门、研究院所、企业</w:t>
      </w:r>
      <w:r>
        <w:rPr>
          <w:sz w:val="24"/>
          <w:szCs w:val="28"/>
        </w:rPr>
        <w:t>。</w:t>
      </w:r>
    </w:p>
    <w:p w14:paraId="5043E096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本系统的核心价值：</w:t>
      </w:r>
      <w:r>
        <w:rPr>
          <w:b/>
          <w:bCs/>
          <w:sz w:val="24"/>
          <w:szCs w:val="28"/>
        </w:rPr>
        <w:t>把分散的市场数据、销售数据、竞争情报、渠道信息统一沉淀到一张地图上，让管理层能够「看地图打仗」——基于数据而非直觉做区域分级、人员部署和渠道规划决策。</w:t>
      </w:r>
    </w:p>
    <w:p w14:paraId="3AA81A45">
      <w:pPr>
        <w:spacing w:after="0" w:line="276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二、</w:t>
      </w:r>
      <w:r>
        <w:rPr>
          <w:sz w:val="24"/>
          <w:szCs w:val="28"/>
        </w:rPr>
        <w:t>核心目的</w:t>
      </w:r>
    </w:p>
    <w:p w14:paraId="2A73E8D6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目的1：区域分级与差异化经营策略</w:t>
      </w:r>
    </w:p>
    <w:p w14:paraId="1A5BBFC6">
      <w:pPr>
        <w:spacing w:after="0" w:line="276" w:lineRule="auto"/>
        <w:rPr>
          <w:b/>
          <w:bCs/>
          <w:sz w:val="24"/>
          <w:szCs w:val="28"/>
        </w:rPr>
      </w:pPr>
    </w:p>
    <w:p w14:paraId="3BB82040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将全国市场按经营状态分为三级，对应不同策略，资源向战略增长区域倾斜。</w:t>
      </w:r>
    </w:p>
    <w:p w14:paraId="21BA0E2B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1.1 核心区域</w:t>
      </w:r>
    </w:p>
    <w:p w14:paraId="79BE5611">
      <w:pPr>
        <w:numPr>
          <w:ilvl w:val="0"/>
          <w:numId w:val="1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定义</w:t>
      </w:r>
      <w:r>
        <w:rPr>
          <w:sz w:val="24"/>
          <w:szCs w:val="28"/>
        </w:rPr>
        <w:t>：高占有率、高成交密度、已有充足人力覆盖的区域。</w:t>
      </w:r>
    </w:p>
    <w:p w14:paraId="15F8D133">
      <w:pPr>
        <w:numPr>
          <w:ilvl w:val="0"/>
          <w:numId w:val="2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特征</w:t>
      </w:r>
      <w:r>
        <w:rPr>
          <w:sz w:val="24"/>
          <w:szCs w:val="28"/>
        </w:rPr>
        <w:t>：</w:t>
      </w:r>
    </w:p>
    <w:p w14:paraId="057E514C">
      <w:pPr>
        <w:numPr>
          <w:ilvl w:val="1"/>
          <w:numId w:val="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市场占有率高于阈值（建议≥25%，可配置）；</w:t>
      </w:r>
    </w:p>
    <w:p w14:paraId="5A0173D3">
      <w:pPr>
        <w:numPr>
          <w:ilvl w:val="1"/>
          <w:numId w:val="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过去12个月成交客户数/区域内行业单位总数≥阈值（建议≥20%，可配置）；</w:t>
      </w:r>
    </w:p>
    <w:p w14:paraId="04C54DBB">
      <w:pPr>
        <w:numPr>
          <w:ilvl w:val="1"/>
          <w:numId w:val="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至少有1名常驻销售人员覆盖。</w:t>
      </w:r>
    </w:p>
    <w:p w14:paraId="2043BDE0">
      <w:pPr>
        <w:numPr>
          <w:ilvl w:val="0"/>
          <w:numId w:val="3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经营策略</w:t>
      </w:r>
      <w:r>
        <w:rPr>
          <w:sz w:val="24"/>
          <w:szCs w:val="28"/>
        </w:rPr>
        <w:t>：防守深耕。</w:t>
      </w:r>
    </w:p>
    <w:p w14:paraId="61D80407">
      <w:pPr>
        <w:numPr>
          <w:ilvl w:val="1"/>
          <w:numId w:val="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目标是防止流失、提升复购、挖掘老客户新需求；</w:t>
      </w:r>
    </w:p>
    <w:p w14:paraId="371F6F96">
      <w:pPr>
        <w:numPr>
          <w:ilvl w:val="1"/>
          <w:numId w:val="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资源以维系为主，不新增大规模投入。</w:t>
      </w:r>
    </w:p>
    <w:p w14:paraId="4C08AEAC">
      <w:pPr>
        <w:numPr>
          <w:ilvl w:val="0"/>
          <w:numId w:val="4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关键指标</w:t>
      </w:r>
      <w:r>
        <w:rPr>
          <w:sz w:val="24"/>
          <w:szCs w:val="28"/>
        </w:rPr>
        <w:t>：复购率、客户流失率、客单价、占有率。</w:t>
      </w:r>
    </w:p>
    <w:p w14:paraId="0421ECE1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1.2 战略增长区域</w:t>
      </w:r>
    </w:p>
    <w:p w14:paraId="248938E6">
      <w:pPr>
        <w:numPr>
          <w:ilvl w:val="0"/>
          <w:numId w:val="5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定义</w:t>
      </w:r>
      <w:r>
        <w:rPr>
          <w:sz w:val="24"/>
          <w:szCs w:val="28"/>
        </w:rPr>
        <w:t>：高市场容量、低占有率、商机密集、竞争适中的区域。</w:t>
      </w:r>
    </w:p>
    <w:p w14:paraId="3F589C22">
      <w:pPr>
        <w:numPr>
          <w:ilvl w:val="0"/>
          <w:numId w:val="6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特征</w:t>
      </w:r>
      <w:r>
        <w:rPr>
          <w:sz w:val="24"/>
          <w:szCs w:val="28"/>
        </w:rPr>
        <w:t>：</w:t>
      </w:r>
    </w:p>
    <w:p w14:paraId="456A9041">
      <w:pPr>
        <w:numPr>
          <w:ilvl w:val="1"/>
          <w:numId w:val="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区域内行业单位数量大（市场容量高，建议≥阈值，可配置）；</w:t>
      </w:r>
    </w:p>
    <w:p w14:paraId="242CE787">
      <w:pPr>
        <w:numPr>
          <w:ilvl w:val="1"/>
          <w:numId w:val="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当前占有率低（建议&lt;10%，可配置）；</w:t>
      </w:r>
    </w:p>
    <w:p w14:paraId="69BAFEAE">
      <w:pPr>
        <w:numPr>
          <w:ilvl w:val="1"/>
          <w:numId w:val="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在跟商机数≥阈值（建议≥5，可配置），说明有需求、有线索；</w:t>
      </w:r>
    </w:p>
    <w:p w14:paraId="45C954D8">
      <w:pPr>
        <w:numPr>
          <w:ilvl w:val="1"/>
          <w:numId w:val="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同行据点数量适中（不是红海，也不是完全空白）。</w:t>
      </w:r>
    </w:p>
    <w:p w14:paraId="57C8B111">
      <w:pPr>
        <w:numPr>
          <w:ilvl w:val="0"/>
          <w:numId w:val="7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经营策略</w:t>
      </w:r>
      <w:r>
        <w:rPr>
          <w:sz w:val="24"/>
          <w:szCs w:val="28"/>
        </w:rPr>
        <w:t>：倾斜投入人力、市场活动、立标杆客户。</w:t>
      </w:r>
    </w:p>
    <w:p w14:paraId="493DC7C5">
      <w:pPr>
        <w:numPr>
          <w:ilvl w:val="1"/>
          <w:numId w:val="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派驻或扩充销售团队；</w:t>
      </w:r>
    </w:p>
    <w:p w14:paraId="6225AE4D">
      <w:pPr>
        <w:numPr>
          <w:ilvl w:val="1"/>
          <w:numId w:val="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举办行业市场活动、建立标杆案例客户；</w:t>
      </w:r>
    </w:p>
    <w:p w14:paraId="5A9CA2BA">
      <w:pPr>
        <w:numPr>
          <w:ilvl w:val="1"/>
          <w:numId w:val="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优先级最高的资源投放区。</w:t>
      </w:r>
    </w:p>
    <w:p w14:paraId="461BA2D8">
      <w:pPr>
        <w:numPr>
          <w:ilvl w:val="0"/>
          <w:numId w:val="8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关键指标</w:t>
      </w:r>
      <w:r>
        <w:rPr>
          <w:sz w:val="24"/>
          <w:szCs w:val="28"/>
        </w:rPr>
        <w:t>：新增客户数、商机转化率、标杆客户数、市占率提升幅度。</w:t>
      </w:r>
    </w:p>
    <w:p w14:paraId="2D431A2D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1.3 机会孵化区域</w:t>
      </w:r>
    </w:p>
    <w:p w14:paraId="025004CC">
      <w:pPr>
        <w:numPr>
          <w:ilvl w:val="0"/>
          <w:numId w:val="9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定义</w:t>
      </w:r>
      <w:r>
        <w:rPr>
          <w:sz w:val="24"/>
          <w:szCs w:val="28"/>
        </w:rPr>
        <w:t>：有一定市场容量和行业单位，但暂无商机和成交的空白市场。</w:t>
      </w:r>
    </w:p>
    <w:p w14:paraId="52D4AE6C">
      <w:pPr>
        <w:numPr>
          <w:ilvl w:val="0"/>
          <w:numId w:val="10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特征</w:t>
      </w:r>
      <w:r>
        <w:rPr>
          <w:sz w:val="24"/>
          <w:szCs w:val="28"/>
        </w:rPr>
        <w:t>：</w:t>
      </w:r>
    </w:p>
    <w:p w14:paraId="44343470">
      <w:pPr>
        <w:numPr>
          <w:ilvl w:val="1"/>
          <w:numId w:val="1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存在行业单位（说明有潜在需求）；</w:t>
      </w:r>
    </w:p>
    <w:p w14:paraId="21CC76F2">
      <w:pPr>
        <w:numPr>
          <w:ilvl w:val="1"/>
          <w:numId w:val="1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过去12个月无成交、无在跟商机。</w:t>
      </w:r>
    </w:p>
    <w:p w14:paraId="3BFBD59D">
      <w:pPr>
        <w:numPr>
          <w:ilvl w:val="0"/>
          <w:numId w:val="11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经营策略</w:t>
      </w:r>
      <w:r>
        <w:rPr>
          <w:sz w:val="24"/>
          <w:szCs w:val="28"/>
        </w:rPr>
        <w:t>：寻找渠道或远程覆盖，少量拜访验证。</w:t>
      </w:r>
    </w:p>
    <w:p w14:paraId="473ECE9D">
      <w:pPr>
        <w:numPr>
          <w:ilvl w:val="1"/>
          <w:numId w:val="1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不投入常驻人力；</w:t>
      </w:r>
    </w:p>
    <w:p w14:paraId="4F892A10">
      <w:pPr>
        <w:numPr>
          <w:ilvl w:val="1"/>
          <w:numId w:val="1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通过经销商/远程拜访/行业活动试探性开发；</w:t>
      </w:r>
    </w:p>
    <w:p w14:paraId="5C1F7729">
      <w:pPr>
        <w:numPr>
          <w:ilvl w:val="1"/>
          <w:numId w:val="1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目标是把空白区域转化为有机会的区域。</w:t>
      </w:r>
    </w:p>
    <w:p w14:paraId="3E2B4772">
      <w:pPr>
        <w:numPr>
          <w:ilvl w:val="0"/>
          <w:numId w:val="12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关键指标</w:t>
      </w:r>
      <w:r>
        <w:rPr>
          <w:sz w:val="24"/>
          <w:szCs w:val="28"/>
        </w:rPr>
        <w:t>：空白转商机数、首次成交时间、验证拜访转化率。</w:t>
      </w:r>
    </w:p>
    <w:p w14:paraId="1D60BB4E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1.4 分级规则的可配置性</w:t>
      </w:r>
    </w:p>
    <w:p w14:paraId="22FE5F7A">
      <w:pPr>
        <w:numPr>
          <w:ilvl w:val="0"/>
          <w:numId w:val="1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分级阈值（占有率、成交密度、商机数量、同行数量等）应为</w:t>
      </w:r>
      <w:r>
        <w:rPr>
          <w:b/>
          <w:bCs/>
          <w:sz w:val="24"/>
          <w:szCs w:val="28"/>
        </w:rPr>
        <w:t>可配置参数</w:t>
      </w:r>
      <w:r>
        <w:rPr>
          <w:sz w:val="24"/>
          <w:szCs w:val="28"/>
        </w:rPr>
        <w:t>，由管理层在系统后台调整，不写死在代码里。</w:t>
      </w:r>
    </w:p>
    <w:p w14:paraId="13A19162">
      <w:pPr>
        <w:numPr>
          <w:ilvl w:val="0"/>
          <w:numId w:val="1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系统应支持按规则</w:t>
      </w:r>
      <w:r>
        <w:rPr>
          <w:b/>
          <w:bCs/>
          <w:sz w:val="24"/>
          <w:szCs w:val="28"/>
        </w:rPr>
        <w:t>自动计算</w:t>
      </w:r>
      <w:r>
        <w:rPr>
          <w:sz w:val="24"/>
          <w:szCs w:val="28"/>
        </w:rPr>
        <w:t>每个区域的当前分级，并支持人工调整覆盖。</w:t>
      </w:r>
    </w:p>
    <w:p w14:paraId="4A23EE25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目的 2：依据地图制定人员部署计划</w:t>
      </w:r>
    </w:p>
    <w:p w14:paraId="5F73E82B">
      <w:pPr>
        <w:numPr>
          <w:ilvl w:val="0"/>
          <w:numId w:val="1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在地图上叠加「行业单位分布 + 成交/商机分布 + 现有销售人员覆盖范围」，直观展示：</w:t>
      </w:r>
    </w:p>
    <w:p w14:paraId="7C9E9495">
      <w:pPr>
        <w:numPr>
          <w:ilvl w:val="1"/>
          <w:numId w:val="1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哪些区域有需求但</w:t>
      </w:r>
      <w:r>
        <w:rPr>
          <w:b/>
          <w:bCs/>
          <w:sz w:val="24"/>
          <w:szCs w:val="28"/>
        </w:rPr>
        <w:t>无人覆盖</w:t>
      </w:r>
      <w:r>
        <w:rPr>
          <w:sz w:val="24"/>
          <w:szCs w:val="28"/>
        </w:rPr>
        <w:t>（人力缺口）；</w:t>
      </w:r>
    </w:p>
    <w:p w14:paraId="6AB70599">
      <w:pPr>
        <w:numPr>
          <w:ilvl w:val="1"/>
          <w:numId w:val="1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哪些区域</w:t>
      </w:r>
      <w:r>
        <w:rPr>
          <w:b/>
          <w:bCs/>
          <w:sz w:val="24"/>
          <w:szCs w:val="28"/>
        </w:rPr>
        <w:t>人员冗余</w:t>
      </w:r>
      <w:r>
        <w:rPr>
          <w:sz w:val="24"/>
          <w:szCs w:val="28"/>
        </w:rPr>
        <w:t>（多人覆盖同一低需求区域）；</w:t>
      </w:r>
    </w:p>
    <w:p w14:paraId="0A5EA6F6">
      <w:pPr>
        <w:numPr>
          <w:ilvl w:val="1"/>
          <w:numId w:val="1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哪些销售人员的覆盖范围</w:t>
      </w:r>
      <w:r>
        <w:rPr>
          <w:b/>
          <w:bCs/>
          <w:sz w:val="24"/>
          <w:szCs w:val="28"/>
        </w:rPr>
        <w:t>跨度过大或过小</w:t>
      </w:r>
      <w:r>
        <w:rPr>
          <w:sz w:val="24"/>
          <w:szCs w:val="28"/>
        </w:rPr>
        <w:t>；</w:t>
      </w:r>
    </w:p>
    <w:p w14:paraId="6C37DFD1">
      <w:pPr>
        <w:numPr>
          <w:ilvl w:val="1"/>
          <w:numId w:val="1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哪些战略增长区域需要</w:t>
      </w:r>
      <w:r>
        <w:rPr>
          <w:b/>
          <w:bCs/>
          <w:sz w:val="24"/>
          <w:szCs w:val="28"/>
        </w:rPr>
        <w:t>增派/调配</w:t>
      </w:r>
      <w:r>
        <w:rPr>
          <w:sz w:val="24"/>
          <w:szCs w:val="28"/>
        </w:rPr>
        <w:t>人员。</w:t>
      </w:r>
    </w:p>
    <w:p w14:paraId="36923476">
      <w:pPr>
        <w:numPr>
          <w:ilvl w:val="0"/>
          <w:numId w:val="1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目的：把「拍脑袋排兵布阵」变成「看地图科学部署」，让新增人力优先投向战略增长区域，而非平均撒胡椒。</w:t>
      </w:r>
    </w:p>
    <w:p w14:paraId="3956800F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目的 3：规划发展区域与渠道布局</w:t>
      </w:r>
    </w:p>
    <w:p w14:paraId="467B86B5">
      <w:pPr>
        <w:numPr>
          <w:ilvl w:val="0"/>
          <w:numId w:val="1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</w:t>
      </w:r>
      <w:r>
        <w:rPr>
          <w:b/>
          <w:bCs/>
          <w:sz w:val="24"/>
          <w:szCs w:val="28"/>
        </w:rPr>
        <w:t>直销覆盖成本过高的战略增长区域</w:t>
      </w:r>
      <w:r>
        <w:rPr>
          <w:sz w:val="24"/>
          <w:szCs w:val="28"/>
        </w:rPr>
        <w:t>（如偏远、行业单位分散、出差成本高），优先寻找优质经销商/代理商替代或补充直销。</w:t>
      </w:r>
    </w:p>
    <w:p w14:paraId="0BEB9DA2">
      <w:pPr>
        <w:numPr>
          <w:ilvl w:val="0"/>
          <w:numId w:val="1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在地图上展示：现有经销商/合作伙伴的</w:t>
      </w:r>
      <w:r>
        <w:rPr>
          <w:b/>
          <w:bCs/>
          <w:sz w:val="24"/>
          <w:szCs w:val="28"/>
        </w:rPr>
        <w:t>位置与覆盖半径</w:t>
      </w:r>
      <w:r>
        <w:rPr>
          <w:sz w:val="24"/>
          <w:szCs w:val="28"/>
        </w:rPr>
        <w:t>，判断哪些空白/战略区域附近有可借力的渠道，指导渠道拓展方向。</w:t>
      </w:r>
    </w:p>
    <w:p w14:paraId="690AF517">
      <w:pPr>
        <w:numPr>
          <w:ilvl w:val="0"/>
          <w:numId w:val="1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目的：降低高成本区域的覆盖成本，用渠道网络实现低成本快速渗透。</w:t>
      </w:r>
    </w:p>
    <w:p w14:paraId="1A3AC65F">
      <w:pPr>
        <w:spacing w:after="0" w:line="276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三、详细需求</w:t>
      </w:r>
    </w:p>
    <w:p w14:paraId="3402CC75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1：行业单位基础库（含筛选与成交/商机标记）</w:t>
      </w:r>
    </w:p>
    <w:p w14:paraId="6A6A64CA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1.1 功能目的</w:t>
      </w:r>
    </w:p>
    <w:p w14:paraId="0EA993BE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建立全国目标行业单位的统一基础库，作为地图可视化、区域分级、人员部署、竞争分析等所有功能的</w:t>
      </w:r>
      <w:r>
        <w:rPr>
          <w:b/>
          <w:bCs/>
          <w:sz w:val="24"/>
          <w:szCs w:val="28"/>
        </w:rPr>
        <w:t>数据底座</w:t>
      </w:r>
      <w:r>
        <w:rPr>
          <w:sz w:val="24"/>
          <w:szCs w:val="28"/>
        </w:rPr>
        <w:t>。没有这个基础库，后面所有的「热力图、分级、覆盖」都无从谈起。</w:t>
      </w:r>
    </w:p>
    <w:p w14:paraId="1A95AB41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1.2 行业单位类型与筛选规则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832"/>
        <w:gridCol w:w="5861"/>
      </w:tblGrid>
      <w:tr w14:paraId="10C0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4721A41A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行业类型</w:t>
            </w:r>
          </w:p>
        </w:tc>
        <w:tc>
          <w:tcPr>
            <w:tcW w:w="1421" w:type="pct"/>
          </w:tcPr>
          <w:p w14:paraId="70A15A2D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2941" w:type="pct"/>
          </w:tcPr>
          <w:p w14:paraId="790D5D4A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特殊筛选规则</w:t>
            </w:r>
          </w:p>
        </w:tc>
      </w:tr>
      <w:tr w14:paraId="7C2F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5302767F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高校</w:t>
            </w:r>
          </w:p>
        </w:tc>
        <w:tc>
          <w:tcPr>
            <w:tcW w:w="1421" w:type="pct"/>
          </w:tcPr>
          <w:p w14:paraId="2088C5E6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本科、专科、职业技术学院</w:t>
            </w:r>
          </w:p>
        </w:tc>
        <w:tc>
          <w:tcPr>
            <w:tcW w:w="2941" w:type="pct"/>
          </w:tcPr>
          <w:p w14:paraId="3A1CC147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b/>
                <w:bCs/>
                <w:kern w:val="0"/>
                <w:sz w:val="24"/>
                <w14:ligatures w14:val="none"/>
              </w:rPr>
              <w:t>屏蔽校内无「生、环、化、材」相关专业的高校</w:t>
            </w: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。即必须有生物、环境、化学、材料相关专业之一才算目标客户，纯文/法/经管类院校不纳入。专业信息来源于教育部专业目录或学校官网院系信息。</w:t>
            </w:r>
          </w:p>
        </w:tc>
      </w:tr>
      <w:tr w14:paraId="53B8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466F0B80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研究院</w:t>
            </w:r>
          </w:p>
        </w:tc>
        <w:tc>
          <w:tcPr>
            <w:tcW w:w="1421" w:type="pct"/>
          </w:tcPr>
          <w:p w14:paraId="2D191607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各类科研院所</w:t>
            </w:r>
          </w:p>
        </w:tc>
        <w:tc>
          <w:tcPr>
            <w:tcW w:w="2941" w:type="pct"/>
          </w:tcPr>
          <w:p w14:paraId="366ECCEE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以理工科为主，屏蔽纯社科类研究院；关注材料、环境、化学、生物、检测类研究方向。</w:t>
            </w:r>
          </w:p>
        </w:tc>
      </w:tr>
      <w:tr w14:paraId="4954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6C88C00A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疾控</w:t>
            </w:r>
          </w:p>
        </w:tc>
        <w:tc>
          <w:tcPr>
            <w:tcW w:w="1421" w:type="pct"/>
          </w:tcPr>
          <w:p w14:paraId="553C320C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各级疾控中心</w:t>
            </w:r>
          </w:p>
        </w:tc>
        <w:tc>
          <w:tcPr>
            <w:tcW w:w="2941" w:type="pct"/>
          </w:tcPr>
          <w:p w14:paraId="0158DE4A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全量纳入（国家级/省级/市级/区县级）。</w:t>
            </w:r>
          </w:p>
        </w:tc>
      </w:tr>
      <w:tr w14:paraId="5E52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47086F5D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食药</w:t>
            </w:r>
          </w:p>
        </w:tc>
        <w:tc>
          <w:tcPr>
            <w:tcW w:w="1421" w:type="pct"/>
          </w:tcPr>
          <w:p w14:paraId="29A5162F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食品药品检验/监管机构</w:t>
            </w:r>
          </w:p>
        </w:tc>
        <w:tc>
          <w:tcPr>
            <w:tcW w:w="2941" w:type="pct"/>
          </w:tcPr>
          <w:p w14:paraId="3D50C2EB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全量纳入。</w:t>
            </w:r>
            <w:bookmarkStart w:id="0" w:name="_GoBack"/>
            <w:bookmarkEnd w:id="0"/>
          </w:p>
        </w:tc>
      </w:tr>
      <w:tr w14:paraId="6A5C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2100D94A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环保</w:t>
            </w:r>
          </w:p>
        </w:tc>
        <w:tc>
          <w:tcPr>
            <w:tcW w:w="1421" w:type="pct"/>
          </w:tcPr>
          <w:p w14:paraId="389CB397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环境监测站/检测中心</w:t>
            </w:r>
          </w:p>
        </w:tc>
        <w:tc>
          <w:tcPr>
            <w:tcW w:w="2941" w:type="pct"/>
          </w:tcPr>
          <w:p w14:paraId="6EA27B2C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全量纳入。</w:t>
            </w:r>
          </w:p>
        </w:tc>
      </w:tr>
      <w:tr w14:paraId="629A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710CCF37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公安</w:t>
            </w:r>
          </w:p>
        </w:tc>
        <w:tc>
          <w:tcPr>
            <w:tcW w:w="1421" w:type="pct"/>
          </w:tcPr>
          <w:p w14:paraId="1376724F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刑侦/技术侦察/物证鉴定等相关部门</w:t>
            </w:r>
          </w:p>
        </w:tc>
        <w:tc>
          <w:tcPr>
            <w:tcW w:w="2941" w:type="pct"/>
          </w:tcPr>
          <w:p w14:paraId="420C07F5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全量纳入。</w:t>
            </w:r>
          </w:p>
        </w:tc>
      </w:tr>
      <w:tr w14:paraId="56C9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pct"/>
          </w:tcPr>
          <w:p w14:paraId="4BACB057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企业</w:t>
            </w:r>
          </w:p>
        </w:tc>
        <w:tc>
          <w:tcPr>
            <w:tcW w:w="1421" w:type="pct"/>
          </w:tcPr>
          <w:p w14:paraId="3AF5DE03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目标行业企业（如检测/</w:t>
            </w:r>
            <w:r>
              <w:rPr>
                <w:rFonts w:cs="宋体" w:asciiTheme="minorEastAsia" w:hAnsiTheme="minorEastAsia"/>
                <w:b/>
                <w:bCs/>
                <w:kern w:val="0"/>
                <w:sz w:val="24"/>
                <w:highlight w:val="yellow"/>
                <w14:ligatures w14:val="none"/>
              </w:rPr>
              <w:t>制药</w:t>
            </w: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/化工/</w:t>
            </w:r>
            <w:r>
              <w:rPr>
                <w:rFonts w:cs="宋体" w:asciiTheme="minorEastAsia" w:hAnsiTheme="minorEastAsia"/>
                <w:kern w:val="0"/>
                <w:sz w:val="24"/>
                <w:highlight w:val="yellow"/>
                <w14:ligatures w14:val="none"/>
              </w:rPr>
              <w:t>新材料</w:t>
            </w: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等）</w:t>
            </w:r>
          </w:p>
        </w:tc>
        <w:tc>
          <w:tcPr>
            <w:tcW w:w="2941" w:type="pct"/>
          </w:tcPr>
          <w:p w14:paraId="0552DBDB">
            <w:pPr>
              <w:widowControl/>
              <w:spacing w:before="100" w:beforeAutospacing="1" w:after="100" w:afterAutospacing="1" w:line="240" w:lineRule="auto"/>
              <w:rPr>
                <w:rFonts w:cs="宋体" w:asciiTheme="minorEastAsia" w:hAnsiTheme="minorEastAsia"/>
                <w:kern w:val="0"/>
                <w:sz w:val="24"/>
                <w14:ligatures w14:val="none"/>
              </w:rPr>
            </w:pPr>
            <w:r>
              <w:rPr>
                <w:rFonts w:cs="宋体" w:asciiTheme="minorEastAsia" w:hAnsiTheme="minorEastAsia"/>
                <w:kern w:val="0"/>
                <w:sz w:val="24"/>
                <w14:ligatures w14:val="none"/>
              </w:rPr>
              <w:t>按行业白名单筛选，非全量。</w:t>
            </w:r>
          </w:p>
        </w:tc>
      </w:tr>
    </w:tbl>
    <w:p w14:paraId="37B2403B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1.3 关键字段</w:t>
      </w:r>
    </w:p>
    <w:p w14:paraId="2C0B0BA9">
      <w:pPr>
        <w:spacing w:after="0" w:line="276" w:lineRule="auto"/>
        <w:rPr>
          <w:rFonts w:hint="eastAsia"/>
          <w:sz w:val="24"/>
          <w:szCs w:val="28"/>
        </w:rPr>
      </w:pPr>
      <w:r>
        <w:rPr>
          <w:sz w:val="24"/>
          <w:szCs w:val="28"/>
        </w:rPr>
        <w:t>数据来源</w:t>
      </w:r>
      <w:r>
        <w:rPr>
          <w:rFonts w:hint="eastAsia"/>
          <w:sz w:val="24"/>
          <w:szCs w:val="28"/>
        </w:rPr>
        <w:t>：MDS系统、国家政务网站等</w:t>
      </w:r>
    </w:p>
    <w:p w14:paraId="7766ECA0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1.4 客户分类逻辑</w:t>
      </w:r>
    </w:p>
    <w:p w14:paraId="4290A22C">
      <w:pPr>
        <w:numPr>
          <w:ilvl w:val="0"/>
          <w:numId w:val="20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已成交客户</w:t>
      </w:r>
      <w:r>
        <w:rPr>
          <w:sz w:val="24"/>
          <w:szCs w:val="28"/>
        </w:rPr>
        <w:t>：历史有成交记录的行业单位</w:t>
      </w:r>
    </w:p>
    <w:p w14:paraId="41AA4920">
      <w:pPr>
        <w:numPr>
          <w:ilvl w:val="0"/>
          <w:numId w:val="21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商机客户</w:t>
      </w:r>
      <w:r>
        <w:rPr>
          <w:sz w:val="24"/>
          <w:szCs w:val="28"/>
        </w:rPr>
        <w:t>：未成交但存在在跟商机</w:t>
      </w:r>
    </w:p>
    <w:p w14:paraId="3CC433FB">
      <w:pPr>
        <w:numPr>
          <w:ilvl w:val="0"/>
          <w:numId w:val="22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潜在客户</w:t>
      </w:r>
      <w:r>
        <w:rPr>
          <w:sz w:val="24"/>
          <w:szCs w:val="28"/>
        </w:rPr>
        <w:t>：既未成交也无在跟商机，仅为基础库中的行业单位。</w:t>
      </w:r>
    </w:p>
    <w:p w14:paraId="4E0AF87A">
      <w:pPr>
        <w:numPr>
          <w:ilvl w:val="0"/>
          <w:numId w:val="2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三类客户在地图上用不同颜色/图标区分。</w:t>
      </w:r>
    </w:p>
    <w:p w14:paraId="7A202541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1.5 交互与展示</w:t>
      </w:r>
    </w:p>
    <w:p w14:paraId="3E42272C">
      <w:pPr>
        <w:numPr>
          <w:ilvl w:val="0"/>
          <w:numId w:val="2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地图上按行业类型可分图层开关显示/隐藏；</w:t>
      </w:r>
    </w:p>
    <w:p w14:paraId="0AE5A6DE">
      <w:pPr>
        <w:numPr>
          <w:ilvl w:val="0"/>
          <w:numId w:val="2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点击单个行业单位图标，弹出详情卡片（名称、类型、地址、</w:t>
      </w:r>
      <w:r>
        <w:rPr>
          <w:rFonts w:hint="eastAsia"/>
          <w:sz w:val="24"/>
          <w:szCs w:val="28"/>
        </w:rPr>
        <w:t>行</w:t>
      </w:r>
      <w:r>
        <w:rPr>
          <w:sz w:val="24"/>
          <w:szCs w:val="28"/>
        </w:rPr>
        <w:t>业、是否成交、近期商机、所属集团）；</w:t>
      </w:r>
    </w:p>
    <w:p w14:paraId="273F4AFF">
      <w:pPr>
        <w:numPr>
          <w:ilvl w:val="0"/>
          <w:numId w:val="2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支持按省/市/区钻取；</w:t>
      </w:r>
    </w:p>
    <w:p w14:paraId="422CE2E4">
      <w:pPr>
        <w:numPr>
          <w:ilvl w:val="0"/>
          <w:numId w:val="2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支持按行业类型、成交状态、商机阶段筛选过滤。</w:t>
      </w:r>
    </w:p>
    <w:p w14:paraId="0E253665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2：体量热力图与现有市场销售网络</w:t>
      </w:r>
    </w:p>
    <w:p w14:paraId="44A475D1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2.1 功能目的</w:t>
      </w:r>
    </w:p>
    <w:p w14:paraId="7448A472">
      <w:pPr>
        <w:numPr>
          <w:ilvl w:val="0"/>
          <w:numId w:val="28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体量热力图</w:t>
      </w:r>
      <w:r>
        <w:rPr>
          <w:sz w:val="24"/>
          <w:szCs w:val="28"/>
        </w:rPr>
        <w:t>：直观展示各区域的市场体量大小（</w:t>
      </w:r>
      <w:r>
        <w:rPr>
          <w:sz w:val="24"/>
          <w:szCs w:val="28"/>
          <w:highlight w:val="yellow"/>
        </w:rPr>
        <w:t>以行业单位数量</w:t>
      </w:r>
      <w:r>
        <w:rPr>
          <w:sz w:val="24"/>
          <w:szCs w:val="28"/>
        </w:rPr>
        <w:t>/潜在需求体量衡量），让管理层一眼看出「哪里市场大、哪里市场小」，作为区域分级和资源投放的第一依据。</w:t>
      </w:r>
    </w:p>
    <w:p w14:paraId="21D99B3B">
      <w:pPr>
        <w:numPr>
          <w:ilvl w:val="0"/>
          <w:numId w:val="29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现有市场销售网络</w:t>
      </w:r>
      <w:r>
        <w:rPr>
          <w:sz w:val="24"/>
          <w:szCs w:val="28"/>
        </w:rPr>
        <w:t>：在热力图上叠加现有销售网络布局（销售办公地点、覆盖区域），让管理层对比「市场体量」与「现有覆盖」，发现错配。</w:t>
      </w:r>
    </w:p>
    <w:p w14:paraId="3424FCFA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2.2 数据来源与计算逻辑</w:t>
      </w:r>
    </w:p>
    <w:p w14:paraId="0A09D4CC">
      <w:pPr>
        <w:numPr>
          <w:ilvl w:val="0"/>
          <w:numId w:val="30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体量指标</w:t>
      </w:r>
      <w:r>
        <w:rPr>
          <w:sz w:val="24"/>
          <w:szCs w:val="28"/>
        </w:rPr>
        <w:t>：区域（省/市/区）内目标行业单位总数，按需求1基础库统计。</w:t>
      </w:r>
    </w:p>
    <w:p w14:paraId="36353EA6">
      <w:pPr>
        <w:numPr>
          <w:ilvl w:val="1"/>
          <w:numId w:val="3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可切换维度：按单位数量、按潜在成交额预估、按行业类型分布。</w:t>
      </w:r>
    </w:p>
    <w:p w14:paraId="33B1240C">
      <w:pPr>
        <w:numPr>
          <w:ilvl w:val="0"/>
          <w:numId w:val="31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热力图着色</w:t>
      </w:r>
      <w:r>
        <w:rPr>
          <w:sz w:val="24"/>
          <w:szCs w:val="28"/>
        </w:rPr>
        <w:t>：按体量分级（如五档：极高/高/中/低/极低），颜色深浅表示体量大小。</w:t>
      </w:r>
    </w:p>
    <w:p w14:paraId="2DC0AD9D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2.3 关键展示内容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856"/>
        <w:gridCol w:w="3336"/>
      </w:tblGrid>
      <w:tr w14:paraId="53E9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3D11DED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图层</w:t>
            </w:r>
          </w:p>
        </w:tc>
        <w:tc>
          <w:tcPr>
            <w:tcW w:w="0" w:type="auto"/>
            <w:vAlign w:val="center"/>
          </w:tcPr>
          <w:p w14:paraId="1875E84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内容</w:t>
            </w:r>
          </w:p>
        </w:tc>
        <w:tc>
          <w:tcPr>
            <w:tcW w:w="0" w:type="auto"/>
            <w:vAlign w:val="center"/>
          </w:tcPr>
          <w:p w14:paraId="7E5D1487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展示方式</w:t>
            </w:r>
          </w:p>
        </w:tc>
      </w:tr>
      <w:tr w14:paraId="406B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013E20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体量热力图</w:t>
            </w:r>
          </w:p>
        </w:tc>
        <w:tc>
          <w:tcPr>
            <w:tcW w:w="0" w:type="auto"/>
            <w:vAlign w:val="center"/>
          </w:tcPr>
          <w:p w14:paraId="55D26D26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区域行业单位密度</w:t>
            </w:r>
          </w:p>
        </w:tc>
        <w:tc>
          <w:tcPr>
            <w:tcW w:w="0" w:type="auto"/>
            <w:vAlign w:val="center"/>
          </w:tcPr>
          <w:p w14:paraId="04B21F67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区域填充色（深浅表示体量）</w:t>
            </w:r>
          </w:p>
        </w:tc>
      </w:tr>
      <w:tr w14:paraId="0A66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39B2F1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销售网络</w:t>
            </w:r>
          </w:p>
        </w:tc>
        <w:tc>
          <w:tcPr>
            <w:tcW w:w="0" w:type="auto"/>
            <w:vAlign w:val="center"/>
          </w:tcPr>
          <w:p w14:paraId="2369ECA2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各销售办公地点/常驻点</w:t>
            </w:r>
          </w:p>
        </w:tc>
        <w:tc>
          <w:tcPr>
            <w:tcW w:w="0" w:type="auto"/>
            <w:vAlign w:val="center"/>
          </w:tcPr>
          <w:p w14:paraId="31A7B8B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点标注</w:t>
            </w:r>
          </w:p>
        </w:tc>
      </w:tr>
      <w:tr w14:paraId="4D65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997F555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覆盖范围</w:t>
            </w:r>
          </w:p>
        </w:tc>
        <w:tc>
          <w:tcPr>
            <w:tcW w:w="0" w:type="auto"/>
            <w:vAlign w:val="center"/>
          </w:tcPr>
          <w:p w14:paraId="75AB71B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每个销售人员的负责区域</w:t>
            </w:r>
          </w:p>
        </w:tc>
        <w:tc>
          <w:tcPr>
            <w:tcW w:w="0" w:type="auto"/>
            <w:vAlign w:val="center"/>
          </w:tcPr>
          <w:p w14:paraId="4D36E115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区域边界或半径圈</w:t>
            </w:r>
          </w:p>
        </w:tc>
      </w:tr>
    </w:tbl>
    <w:p w14:paraId="02FB7E77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3：客户关系网络集团树</w:t>
      </w:r>
    </w:p>
    <w:p w14:paraId="052F47F7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3.1 功能目的</w:t>
      </w:r>
    </w:p>
    <w:p w14:paraId="01E89312">
      <w:p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同一集团/体系（如某高校体系、某央企检测体系、某连锁企业）在全国有多家分支机构。成交或跟进其中一家时，应能识别同集团的其他分支，实现：</w:t>
      </w:r>
    </w:p>
    <w:p w14:paraId="525ED6D2">
      <w:pPr>
        <w:numPr>
          <w:ilvl w:val="0"/>
          <w:numId w:val="32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跨区域关联</w:t>
      </w:r>
      <w:r>
        <w:rPr>
          <w:sz w:val="24"/>
          <w:szCs w:val="28"/>
        </w:rPr>
        <w:t>：A省成交了集团总部，B省有同集团分支，可协同推进；</w:t>
      </w:r>
    </w:p>
    <w:p w14:paraId="1B641734">
      <w:pPr>
        <w:numPr>
          <w:ilvl w:val="0"/>
          <w:numId w:val="33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商机共享</w:t>
      </w:r>
      <w:r>
        <w:rPr>
          <w:sz w:val="24"/>
          <w:szCs w:val="28"/>
        </w:rPr>
        <w:t>：识别同集团未成交分支作为商机；</w:t>
      </w:r>
    </w:p>
    <w:p w14:paraId="69DAF277">
      <w:pPr>
        <w:numPr>
          <w:ilvl w:val="0"/>
          <w:numId w:val="34"/>
        </w:numPr>
        <w:spacing w:after="0" w:line="276" w:lineRule="auto"/>
        <w:rPr>
          <w:sz w:val="24"/>
          <w:szCs w:val="28"/>
        </w:rPr>
      </w:pPr>
      <w:r>
        <w:rPr>
          <w:b/>
          <w:bCs/>
          <w:sz w:val="24"/>
          <w:szCs w:val="28"/>
        </w:rPr>
        <w:t>集团层级管理</w:t>
      </w:r>
      <w:r>
        <w:rPr>
          <w:sz w:val="24"/>
          <w:szCs w:val="28"/>
        </w:rPr>
        <w:t>：避免多头跟进、重复报价。</w:t>
      </w:r>
    </w:p>
    <w:p w14:paraId="601234AE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关键内容</w:t>
      </w:r>
    </w:p>
    <w:p w14:paraId="357BEDAC">
      <w:pPr>
        <w:numPr>
          <w:ilvl w:val="0"/>
          <w:numId w:val="3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集团树结构：集团总部→一级分支→二级分支…；</w:t>
      </w:r>
    </w:p>
    <w:p w14:paraId="6E59BFFD">
      <w:pPr>
        <w:numPr>
          <w:ilvl w:val="0"/>
          <w:numId w:val="3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每个节点标注：单位名称、地址、经纬度、是否成交、成交金额、商机阶段；</w:t>
      </w:r>
    </w:p>
    <w:p w14:paraId="04274B51">
      <w:pPr>
        <w:numPr>
          <w:ilvl w:val="0"/>
          <w:numId w:val="3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在地图上：同集团节点用相同颜色/连线关联，可展开集团全国分布；</w:t>
      </w:r>
    </w:p>
    <w:p w14:paraId="72812662">
      <w:pPr>
        <w:numPr>
          <w:ilvl w:val="0"/>
          <w:numId w:val="3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侧边栏：集团树状结构列表，点击节点跳转地图定位。</w:t>
      </w:r>
    </w:p>
    <w:p w14:paraId="15EBA2B9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交互与展示</w:t>
      </w:r>
    </w:p>
    <w:p w14:paraId="0BCE5898">
      <w:pPr>
        <w:numPr>
          <w:ilvl w:val="0"/>
          <w:numId w:val="3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地图上点击任一集团节点，高亮显示同集团所有分支并连线到总部；</w:t>
      </w:r>
    </w:p>
    <w:p w14:paraId="06297A57">
      <w:pPr>
        <w:numPr>
          <w:ilvl w:val="0"/>
          <w:numId w:val="4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切换「集团视图」：只看有集团关系的客户，隐藏独立客户；</w:t>
      </w:r>
    </w:p>
    <w:p w14:paraId="00471B26">
      <w:pPr>
        <w:numPr>
          <w:ilvl w:val="0"/>
          <w:numId w:val="4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集团树侧边栏：树形展开，显示成交/商机状态汇总（如「XX</w:t>
      </w:r>
      <w:r>
        <w:rPr>
          <w:rFonts w:hint="eastAsia"/>
          <w:sz w:val="24"/>
          <w:szCs w:val="28"/>
        </w:rPr>
        <w:t>单位</w:t>
      </w:r>
      <w:r>
        <w:rPr>
          <w:sz w:val="24"/>
          <w:szCs w:val="28"/>
        </w:rPr>
        <w:t>：共12家分支，已成交5家，商机3家」）。</w:t>
      </w:r>
    </w:p>
    <w:p w14:paraId="556E2F77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4：渠道与合作伙伴布局信息</w:t>
      </w:r>
    </w:p>
    <w:p w14:paraId="7F1FBF85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4.1 功能目的</w:t>
      </w:r>
    </w:p>
    <w:p w14:paraId="0003429D">
      <w:pPr>
        <w:numPr>
          <w:ilvl w:val="0"/>
          <w:numId w:val="4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展示经销商/代理商/合作伙伴的</w:t>
      </w:r>
      <w:r>
        <w:rPr>
          <w:b/>
          <w:bCs/>
          <w:sz w:val="24"/>
          <w:szCs w:val="28"/>
        </w:rPr>
        <w:t>位置与覆盖半径</w:t>
      </w:r>
      <w:r>
        <w:rPr>
          <w:sz w:val="24"/>
          <w:szCs w:val="28"/>
        </w:rPr>
        <w:t>；</w:t>
      </w:r>
    </w:p>
    <w:p w14:paraId="181F26BA">
      <w:pPr>
        <w:numPr>
          <w:ilvl w:val="0"/>
          <w:numId w:val="4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判断空白区域/战略增长区域附近是否有可借力的渠道；</w:t>
      </w:r>
    </w:p>
    <w:p w14:paraId="7E1D6F0E">
      <w:pPr>
        <w:numPr>
          <w:ilvl w:val="0"/>
          <w:numId w:val="4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指导渠道拓展方向：在直销覆盖成本过高的区域优先发展经销商（呼应核心目的3）。</w:t>
      </w:r>
    </w:p>
    <w:p w14:paraId="4A3A70AC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4.2 数据来源</w:t>
      </w:r>
    </w:p>
    <w:p w14:paraId="3F014D07">
      <w:pPr>
        <w:numPr>
          <w:ilvl w:val="0"/>
          <w:numId w:val="4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渠道/合作伙伴台账（经销商合同、代理协议、合作伙伴登记）；</w:t>
      </w:r>
    </w:p>
    <w:p w14:paraId="2FF4D784">
      <w:pPr>
        <w:numPr>
          <w:ilvl w:val="0"/>
          <w:numId w:val="4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字段：渠道名称、类型、地址、经纬度、授权覆盖区域、覆盖半径、授权产品线、合作等级。</w:t>
      </w:r>
    </w:p>
    <w:p w14:paraId="1B9A316E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4.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交互与展示</w:t>
      </w:r>
    </w:p>
    <w:p w14:paraId="056713E5">
      <w:pPr>
        <w:numPr>
          <w:ilvl w:val="0"/>
          <w:numId w:val="4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渠道以不同图标按类型/等级区分；</w:t>
      </w:r>
    </w:p>
    <w:p w14:paraId="5E72DDE1">
      <w:pPr>
        <w:numPr>
          <w:ilvl w:val="0"/>
          <w:numId w:val="4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显示覆盖半径圆圈，圆圈大小=覆盖半径；</w:t>
      </w:r>
    </w:p>
    <w:p w14:paraId="77B6E896">
      <w:pPr>
        <w:numPr>
          <w:ilvl w:val="0"/>
          <w:numId w:val="4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圆圈与行业单位、空白区域叠加，直观看出「空白区域是否在渠道覆盖半径内」；</w:t>
      </w:r>
    </w:p>
    <w:p w14:paraId="3F05B941">
      <w:pPr>
        <w:numPr>
          <w:ilvl w:val="0"/>
          <w:numId w:val="5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支持筛选：按渠道类型、合作等级、覆盖区域。</w:t>
      </w:r>
    </w:p>
    <w:p w14:paraId="6E37F07D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5：同行市场据点和强势区域</w:t>
      </w:r>
    </w:p>
    <w:p w14:paraId="7311E517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5.1 功能目的</w:t>
      </w:r>
    </w:p>
    <w:p w14:paraId="108EA2F6">
      <w:pPr>
        <w:numPr>
          <w:ilvl w:val="0"/>
          <w:numId w:val="5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标记同行（竞争对手）的</w:t>
      </w:r>
      <w:r>
        <w:rPr>
          <w:b/>
          <w:bCs/>
          <w:sz w:val="24"/>
          <w:szCs w:val="28"/>
        </w:rPr>
        <w:t>据点位置</w:t>
      </w:r>
      <w:r>
        <w:rPr>
          <w:sz w:val="24"/>
          <w:szCs w:val="28"/>
        </w:rPr>
        <w:t>和</w:t>
      </w:r>
      <w:r>
        <w:rPr>
          <w:b/>
          <w:bCs/>
          <w:sz w:val="24"/>
          <w:szCs w:val="28"/>
        </w:rPr>
        <w:t>已成单客户分布</w:t>
      </w:r>
      <w:r>
        <w:rPr>
          <w:sz w:val="24"/>
          <w:szCs w:val="28"/>
        </w:rPr>
        <w:t>；</w:t>
      </w:r>
    </w:p>
    <w:p w14:paraId="4B0E77BB">
      <w:pPr>
        <w:numPr>
          <w:ilvl w:val="0"/>
          <w:numId w:val="5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识别同行的强势区域，作为区域分级中「竞争强度」维度的依据；</w:t>
      </w:r>
    </w:p>
    <w:p w14:paraId="05141BE7">
      <w:pPr>
        <w:numPr>
          <w:ilvl w:val="0"/>
          <w:numId w:val="5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指导差异化竞争策略：在同行强势区域防守，在同行空白区域抢占。</w:t>
      </w:r>
    </w:p>
    <w:p w14:paraId="6F7F0DA9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5.2 数据来源</w:t>
      </w:r>
    </w:p>
    <w:p w14:paraId="783BF4B1">
      <w:pPr>
        <w:numPr>
          <w:ilvl w:val="0"/>
          <w:numId w:val="5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公开信息：招投标公告、中标公示、企业官网新闻、行业展会参展信息；</w:t>
      </w:r>
    </w:p>
    <w:p w14:paraId="2F272483">
      <w:pPr>
        <w:numPr>
          <w:ilvl w:val="0"/>
          <w:numId w:val="5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一线反馈：销售上报的竞争信息（与某同行竞争某客户、某同行在区域有办公室）；</w:t>
      </w:r>
    </w:p>
    <w:p w14:paraId="0BB072F6">
      <w:pPr>
        <w:numPr>
          <w:ilvl w:val="0"/>
          <w:numId w:val="5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标记置信度：公开信息（高）、一线反馈（中）、推测（低）。</w:t>
      </w:r>
    </w:p>
    <w:p w14:paraId="0826AB1C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交互与展示</w:t>
      </w:r>
    </w:p>
    <w:p w14:paraId="4E7EFD87">
      <w:pPr>
        <w:numPr>
          <w:ilvl w:val="0"/>
          <w:numId w:val="5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同行据点按同行名称分色/分图标；</w:t>
      </w:r>
    </w:p>
    <w:p w14:paraId="78D11242">
      <w:pPr>
        <w:numPr>
          <w:ilvl w:val="0"/>
          <w:numId w:val="5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同行强势区域用半透明色块标注；</w:t>
      </w:r>
    </w:p>
    <w:p w14:paraId="07B6759A">
      <w:pPr>
        <w:numPr>
          <w:ilvl w:val="0"/>
          <w:numId w:val="5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点击据点显示详情：同行名称、据点类型、信息来源、置信度、备注；</w:t>
      </w:r>
    </w:p>
    <w:p w14:paraId="7DCA3FBA">
      <w:pPr>
        <w:numPr>
          <w:ilvl w:val="0"/>
          <w:numId w:val="6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支持按同行名称筛选，单独查看某一家的据点分布。</w:t>
      </w:r>
    </w:p>
    <w:p w14:paraId="2B2F496E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6：销售资源与活动强度信息</w:t>
      </w:r>
    </w:p>
    <w:p w14:paraId="5020C5D2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6.1 功能目的</w:t>
      </w:r>
    </w:p>
    <w:p w14:paraId="1451E05C">
      <w:pPr>
        <w:numPr>
          <w:ilvl w:val="0"/>
          <w:numId w:val="6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在地图上展示每个销售人员的</w:t>
      </w:r>
      <w:r>
        <w:rPr>
          <w:b/>
          <w:bCs/>
          <w:sz w:val="24"/>
          <w:szCs w:val="28"/>
        </w:rPr>
        <w:t>覆盖范围</w:t>
      </w:r>
      <w:r>
        <w:rPr>
          <w:sz w:val="24"/>
          <w:szCs w:val="28"/>
        </w:rPr>
        <w:t>；</w:t>
      </w:r>
    </w:p>
    <w:p w14:paraId="2418DF72">
      <w:pPr>
        <w:numPr>
          <w:ilvl w:val="0"/>
          <w:numId w:val="6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展示过去</w:t>
      </w:r>
      <w:r>
        <w:rPr>
          <w:rFonts w:hint="eastAsia"/>
          <w:sz w:val="24"/>
          <w:szCs w:val="28"/>
        </w:rPr>
        <w:t>1/</w:t>
      </w: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/6/12</w:t>
      </w:r>
      <w:r>
        <w:rPr>
          <w:sz w:val="24"/>
          <w:szCs w:val="28"/>
        </w:rPr>
        <w:t>个月内的</w:t>
      </w:r>
      <w:r>
        <w:rPr>
          <w:b/>
          <w:bCs/>
          <w:sz w:val="24"/>
          <w:szCs w:val="28"/>
        </w:rPr>
        <w:t>活动密度</w:t>
      </w:r>
      <w:r>
        <w:rPr>
          <w:sz w:val="24"/>
          <w:szCs w:val="28"/>
        </w:rPr>
        <w:t>（拜访次数、演示次数、市场活动次数）；</w:t>
      </w:r>
    </w:p>
    <w:p w14:paraId="6940F0D4">
      <w:pPr>
        <w:numPr>
          <w:ilvl w:val="0"/>
          <w:numId w:val="6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展示每个销售在该区域的</w:t>
      </w:r>
      <w:r>
        <w:rPr>
          <w:b/>
          <w:bCs/>
          <w:sz w:val="24"/>
          <w:szCs w:val="28"/>
        </w:rPr>
        <w:t>成交金额</w:t>
      </w:r>
      <w:r>
        <w:rPr>
          <w:sz w:val="24"/>
          <w:szCs w:val="28"/>
        </w:rPr>
        <w:t>和</w:t>
      </w:r>
      <w:r>
        <w:rPr>
          <w:b/>
          <w:bCs/>
          <w:sz w:val="24"/>
          <w:szCs w:val="28"/>
        </w:rPr>
        <w:t>储备项目金额</w:t>
      </w:r>
      <w:r>
        <w:rPr>
          <w:sz w:val="24"/>
          <w:szCs w:val="28"/>
        </w:rPr>
        <w:t>；</w:t>
      </w:r>
    </w:p>
    <w:p w14:paraId="7B63DBBD">
      <w:pPr>
        <w:numPr>
          <w:ilvl w:val="0"/>
          <w:numId w:val="6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目的：评估人效、发现人力缺口/冗余、为人员部署（目的2）提供量化依据。</w:t>
      </w:r>
    </w:p>
    <w:p w14:paraId="5754F4C3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6.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交互与展示</w:t>
      </w:r>
    </w:p>
    <w:p w14:paraId="713EC836">
      <w:pPr>
        <w:numPr>
          <w:ilvl w:val="0"/>
          <w:numId w:val="6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按销售人员筛选：选中某销售，只看其覆盖范围与数据；</w:t>
      </w:r>
    </w:p>
    <w:p w14:paraId="1093A4A0">
      <w:pPr>
        <w:numPr>
          <w:ilvl w:val="0"/>
          <w:numId w:val="6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活动密度可切换子维度（拜访/演示/市场活动）；</w:t>
      </w:r>
    </w:p>
    <w:p w14:paraId="0B1F3BE9">
      <w:pPr>
        <w:numPr>
          <w:ilvl w:val="0"/>
          <w:numId w:val="6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时间范围可调（默认3个月，可切1/6/12个月）；</w:t>
      </w:r>
    </w:p>
    <w:p w14:paraId="484A0C72">
      <w:pPr>
        <w:numPr>
          <w:ilvl w:val="0"/>
          <w:numId w:val="6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点击销售覆盖区域显示：销售姓名、负责区域、活动次数明细、成交金额、储备项目金额；</w:t>
      </w:r>
    </w:p>
    <w:p w14:paraId="5BCC5119">
      <w:pPr>
        <w:numPr>
          <w:ilvl w:val="0"/>
          <w:numId w:val="6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支持对比：选2个销售的覆盖区域，并排对比人效。</w:t>
      </w:r>
    </w:p>
    <w:p w14:paraId="6B7D8A82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需求 7：区域年度数据统计</w:t>
      </w:r>
    </w:p>
    <w:p w14:paraId="4A378CF2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7.1 功能目的</w:t>
      </w:r>
    </w:p>
    <w:p w14:paraId="5026F329">
      <w:pPr>
        <w:numPr>
          <w:ilvl w:val="0"/>
          <w:numId w:val="7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在地图上对每个区域（省/市/区）按</w:t>
      </w:r>
      <w:r>
        <w:rPr>
          <w:b/>
          <w:bCs/>
          <w:sz w:val="24"/>
          <w:szCs w:val="28"/>
        </w:rPr>
        <w:t>年份</w:t>
      </w:r>
      <w:r>
        <w:rPr>
          <w:sz w:val="24"/>
          <w:szCs w:val="28"/>
        </w:rPr>
        <w:t>进行数据统计；</w:t>
      </w:r>
    </w:p>
    <w:p w14:paraId="014B3E2C">
      <w:pPr>
        <w:numPr>
          <w:ilvl w:val="0"/>
          <w:numId w:val="7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让管理层从年度维度看增长趋势，评估区域经营成效，支撑战略复盘与调整。</w:t>
      </w:r>
    </w:p>
    <w:p w14:paraId="74032BAC">
      <w:pPr>
        <w:spacing w:after="0" w:line="276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7.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交互与展示</w:t>
      </w:r>
    </w:p>
    <w:p w14:paraId="38AF50B5">
      <w:pPr>
        <w:numPr>
          <w:ilvl w:val="0"/>
          <w:numId w:val="7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每个区域可点击查看年度统计弹窗/侧边面板；</w:t>
      </w:r>
    </w:p>
    <w:p w14:paraId="38B806E5">
      <w:pPr>
        <w:numPr>
          <w:ilvl w:val="0"/>
          <w:numId w:val="7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年份选择器（默认当前年，可切历史年）；</w:t>
      </w:r>
    </w:p>
    <w:p w14:paraId="06ED628D">
      <w:pPr>
        <w:numPr>
          <w:ilvl w:val="0"/>
          <w:numId w:val="74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支持同比（与去年）、环比（与去年/上季）；</w:t>
      </w:r>
    </w:p>
    <w:p w14:paraId="5BEA6927">
      <w:pPr>
        <w:numPr>
          <w:ilvl w:val="0"/>
          <w:numId w:val="75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区域按某指标着色（如新增客户数热力图），直观看增长分布；</w:t>
      </w:r>
    </w:p>
    <w:p w14:paraId="4AD0E445">
      <w:pPr>
        <w:numPr>
          <w:ilvl w:val="0"/>
          <w:numId w:val="76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支持导出区域年度统计报表（Excel）。</w:t>
      </w:r>
    </w:p>
    <w:p w14:paraId="64B27B2B">
      <w:pPr>
        <w:spacing w:after="0" w:line="276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四、</w:t>
      </w:r>
      <w:r>
        <w:rPr>
          <w:sz w:val="24"/>
          <w:szCs w:val="28"/>
        </w:rPr>
        <w:t>需求与目的的对应关系</w:t>
      </w:r>
    </w:p>
    <w:tbl>
      <w:tblPr>
        <w:tblStyle w:val="1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4640"/>
        <w:gridCol w:w="2134"/>
      </w:tblGrid>
      <w:tr w14:paraId="262B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60610F2E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需求</w:t>
            </w:r>
          </w:p>
        </w:tc>
        <w:tc>
          <w:tcPr>
            <w:tcW w:w="2329" w:type="pct"/>
            <w:vAlign w:val="center"/>
          </w:tcPr>
          <w:p w14:paraId="06904E40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服务的核心目的</w:t>
            </w:r>
          </w:p>
        </w:tc>
        <w:tc>
          <w:tcPr>
            <w:tcW w:w="1071" w:type="pct"/>
            <w:vAlign w:val="center"/>
          </w:tcPr>
          <w:p w14:paraId="6916AE5C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开发优先级建议</w:t>
            </w:r>
          </w:p>
        </w:tc>
      </w:tr>
      <w:tr w14:paraId="3676F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00175905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行业单位基础库</w:t>
            </w:r>
          </w:p>
        </w:tc>
        <w:tc>
          <w:tcPr>
            <w:tcW w:w="2329" w:type="pct"/>
            <w:vAlign w:val="center"/>
          </w:tcPr>
          <w:p w14:paraId="1ABEB424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区域分级（底座）、人员部署、渠道规划</w:t>
            </w:r>
          </w:p>
        </w:tc>
        <w:tc>
          <w:tcPr>
            <w:tcW w:w="1071" w:type="pct"/>
            <w:vAlign w:val="center"/>
          </w:tcPr>
          <w:p w14:paraId="211179B6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P0（最高）</w:t>
            </w:r>
          </w:p>
        </w:tc>
      </w:tr>
      <w:tr w14:paraId="7FB3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0D0D9EFD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 体量热力图+销售网络</w:t>
            </w:r>
          </w:p>
        </w:tc>
        <w:tc>
          <w:tcPr>
            <w:tcW w:w="2329" w:type="pct"/>
            <w:vAlign w:val="center"/>
          </w:tcPr>
          <w:p w14:paraId="5E98FAC5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区域分级、人员部署</w:t>
            </w:r>
          </w:p>
        </w:tc>
        <w:tc>
          <w:tcPr>
            <w:tcW w:w="1071" w:type="pct"/>
            <w:vAlign w:val="center"/>
          </w:tcPr>
          <w:p w14:paraId="2DD92D8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P0</w:t>
            </w:r>
          </w:p>
        </w:tc>
      </w:tr>
      <w:tr w14:paraId="05E7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2D209D38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 客户关系集团树</w:t>
            </w:r>
          </w:p>
        </w:tc>
        <w:tc>
          <w:tcPr>
            <w:tcW w:w="2329" w:type="pct"/>
            <w:vAlign w:val="center"/>
          </w:tcPr>
          <w:p w14:paraId="573C2829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跨区域协同、商机共享</w:t>
            </w:r>
          </w:p>
        </w:tc>
        <w:tc>
          <w:tcPr>
            <w:tcW w:w="1071" w:type="pct"/>
            <w:vAlign w:val="center"/>
          </w:tcPr>
          <w:p w14:paraId="39DD9D4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P1</w:t>
            </w:r>
          </w:p>
        </w:tc>
      </w:tr>
      <w:tr w14:paraId="0E68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2C4AA393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 渠道合作伙伴布局</w:t>
            </w:r>
          </w:p>
        </w:tc>
        <w:tc>
          <w:tcPr>
            <w:tcW w:w="2329" w:type="pct"/>
            <w:vAlign w:val="center"/>
          </w:tcPr>
          <w:p w14:paraId="46720A4E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渠道规划、低成本覆盖</w:t>
            </w:r>
          </w:p>
        </w:tc>
        <w:tc>
          <w:tcPr>
            <w:tcW w:w="1071" w:type="pct"/>
            <w:vAlign w:val="center"/>
          </w:tcPr>
          <w:p w14:paraId="20022C41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P1</w:t>
            </w:r>
          </w:p>
        </w:tc>
      </w:tr>
      <w:tr w14:paraId="53CC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56FFDF18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 同行市场据点</w:t>
            </w:r>
          </w:p>
        </w:tc>
        <w:tc>
          <w:tcPr>
            <w:tcW w:w="2329" w:type="pct"/>
            <w:vAlign w:val="center"/>
          </w:tcPr>
          <w:p w14:paraId="311E90AF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区域分级（竞争维度）、差异化策略</w:t>
            </w:r>
          </w:p>
        </w:tc>
        <w:tc>
          <w:tcPr>
            <w:tcW w:w="1071" w:type="pct"/>
            <w:vAlign w:val="center"/>
          </w:tcPr>
          <w:p w14:paraId="7CA151CD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P1</w:t>
            </w:r>
          </w:p>
        </w:tc>
      </w:tr>
      <w:tr w14:paraId="4D3F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5A63A8DE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 销售资源与活动强度</w:t>
            </w:r>
          </w:p>
        </w:tc>
        <w:tc>
          <w:tcPr>
            <w:tcW w:w="2329" w:type="pct"/>
            <w:vAlign w:val="center"/>
          </w:tcPr>
          <w:p w14:paraId="3C523CE4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人员部署、人效评估</w:t>
            </w:r>
          </w:p>
        </w:tc>
        <w:tc>
          <w:tcPr>
            <w:tcW w:w="1071" w:type="pct"/>
            <w:vAlign w:val="center"/>
          </w:tcPr>
          <w:p w14:paraId="39F6D46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P0</w:t>
            </w:r>
          </w:p>
        </w:tc>
      </w:tr>
      <w:tr w14:paraId="2B4B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pct"/>
            <w:vAlign w:val="center"/>
          </w:tcPr>
          <w:p w14:paraId="210250AC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 区域年度统计</w:t>
            </w:r>
          </w:p>
        </w:tc>
        <w:tc>
          <w:tcPr>
            <w:tcW w:w="2329" w:type="pct"/>
            <w:vAlign w:val="center"/>
          </w:tcPr>
          <w:p w14:paraId="70DD911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战略复盘、年度规划</w:t>
            </w:r>
          </w:p>
        </w:tc>
        <w:tc>
          <w:tcPr>
            <w:tcW w:w="1071" w:type="pct"/>
            <w:vAlign w:val="center"/>
          </w:tcPr>
          <w:p w14:paraId="7F1387C0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P1</w:t>
            </w:r>
          </w:p>
        </w:tc>
      </w:tr>
    </w:tbl>
    <w:p w14:paraId="68E782E1">
      <w:pPr>
        <w:spacing w:after="0"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五</w:t>
      </w:r>
      <w:r>
        <w:rPr>
          <w:b/>
          <w:bCs/>
          <w:sz w:val="24"/>
          <w:szCs w:val="28"/>
        </w:rPr>
        <w:t>、非功能性需求</w:t>
      </w:r>
    </w:p>
    <w:p w14:paraId="17AD776C">
      <w:pPr>
        <w:spacing w:after="0" w:line="276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5.1 数据更新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435"/>
        <w:gridCol w:w="4692"/>
      </w:tblGrid>
      <w:tr w14:paraId="7678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7C28080D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数据</w:t>
            </w:r>
          </w:p>
        </w:tc>
        <w:tc>
          <w:tcPr>
            <w:tcW w:w="1222" w:type="pct"/>
            <w:vAlign w:val="center"/>
          </w:tcPr>
          <w:p w14:paraId="26C9CB0B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更新频率</w:t>
            </w:r>
          </w:p>
        </w:tc>
        <w:tc>
          <w:tcPr>
            <w:tcW w:w="2355" w:type="pct"/>
            <w:vAlign w:val="center"/>
          </w:tcPr>
          <w:p w14:paraId="267F234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更新方式</w:t>
            </w:r>
          </w:p>
        </w:tc>
      </w:tr>
      <w:tr w14:paraId="5A08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0B92A92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行业单位基础库</w:t>
            </w:r>
          </w:p>
        </w:tc>
        <w:tc>
          <w:tcPr>
            <w:tcW w:w="1222" w:type="pct"/>
            <w:vAlign w:val="center"/>
          </w:tcPr>
          <w:p w14:paraId="146F5B3D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月度</w:t>
            </w:r>
          </w:p>
        </w:tc>
        <w:tc>
          <w:tcPr>
            <w:tcW w:w="2355" w:type="pct"/>
            <w:vAlign w:val="center"/>
          </w:tcPr>
          <w:p w14:paraId="0F0BFD7E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数据导入/同步</w:t>
            </w:r>
          </w:p>
        </w:tc>
      </w:tr>
      <w:tr w14:paraId="705F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13F42282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成交/商机数据</w:t>
            </w:r>
          </w:p>
        </w:tc>
        <w:tc>
          <w:tcPr>
            <w:tcW w:w="1222" w:type="pct"/>
            <w:vAlign w:val="center"/>
          </w:tcPr>
          <w:p w14:paraId="17DCA2A1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实时/日级</w:t>
            </w:r>
          </w:p>
        </w:tc>
        <w:tc>
          <w:tcPr>
            <w:tcW w:w="2355" w:type="pct"/>
            <w:vAlign w:val="center"/>
          </w:tcPr>
          <w:p w14:paraId="0657C652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MDS系统</w:t>
            </w:r>
            <w:r>
              <w:rPr>
                <w:sz w:val="24"/>
                <w:szCs w:val="28"/>
              </w:rPr>
              <w:t>同步</w:t>
            </w:r>
          </w:p>
        </w:tc>
      </w:tr>
      <w:tr w14:paraId="5B8B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29C8ED46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销售活动数据</w:t>
            </w:r>
          </w:p>
        </w:tc>
        <w:tc>
          <w:tcPr>
            <w:tcW w:w="1222" w:type="pct"/>
            <w:vAlign w:val="center"/>
          </w:tcPr>
          <w:p w14:paraId="1C436B7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日级</w:t>
            </w:r>
          </w:p>
        </w:tc>
        <w:tc>
          <w:tcPr>
            <w:tcW w:w="2355" w:type="pct"/>
            <w:vAlign w:val="center"/>
          </w:tcPr>
          <w:p w14:paraId="617EE103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MDS系统</w:t>
            </w:r>
            <w:r>
              <w:rPr>
                <w:sz w:val="24"/>
                <w:szCs w:val="28"/>
              </w:rPr>
              <w:t>同步</w:t>
            </w:r>
          </w:p>
        </w:tc>
      </w:tr>
      <w:tr w14:paraId="444A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04FF47F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渠道信息</w:t>
            </w:r>
          </w:p>
        </w:tc>
        <w:tc>
          <w:tcPr>
            <w:tcW w:w="1222" w:type="pct"/>
            <w:vAlign w:val="center"/>
          </w:tcPr>
          <w:p w14:paraId="5078E26A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月度</w:t>
            </w:r>
          </w:p>
        </w:tc>
        <w:tc>
          <w:tcPr>
            <w:tcW w:w="2355" w:type="pct"/>
            <w:vAlign w:val="center"/>
          </w:tcPr>
          <w:p w14:paraId="4892D6DF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渠道台账更新</w:t>
            </w:r>
          </w:p>
        </w:tc>
      </w:tr>
      <w:tr w14:paraId="26FF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66B272FC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同行情报</w:t>
            </w:r>
          </w:p>
        </w:tc>
        <w:tc>
          <w:tcPr>
            <w:tcW w:w="1222" w:type="pct"/>
            <w:vAlign w:val="center"/>
          </w:tcPr>
          <w:p w14:paraId="66F224C1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不定期</w:t>
            </w:r>
          </w:p>
        </w:tc>
        <w:tc>
          <w:tcPr>
            <w:tcW w:w="2355" w:type="pct"/>
            <w:vAlign w:val="center"/>
          </w:tcPr>
          <w:p w14:paraId="7278FFF0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一线上报 + 公开信息整理</w:t>
            </w:r>
          </w:p>
        </w:tc>
      </w:tr>
      <w:tr w14:paraId="14F7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pct"/>
            <w:vAlign w:val="center"/>
          </w:tcPr>
          <w:p w14:paraId="36208818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区域分级</w:t>
            </w:r>
          </w:p>
        </w:tc>
        <w:tc>
          <w:tcPr>
            <w:tcW w:w="1222" w:type="pct"/>
            <w:vAlign w:val="center"/>
          </w:tcPr>
          <w:p w14:paraId="1911D40B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月度自动重算</w:t>
            </w:r>
          </w:p>
        </w:tc>
        <w:tc>
          <w:tcPr>
            <w:tcW w:w="2355" w:type="pct"/>
            <w:vAlign w:val="center"/>
          </w:tcPr>
          <w:p w14:paraId="5C005CDF">
            <w:pPr>
              <w:spacing w:after="0" w:line="276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系统按规则计算</w:t>
            </w:r>
          </w:p>
        </w:tc>
      </w:tr>
    </w:tbl>
    <w:p w14:paraId="3A6AA416">
      <w:pPr>
        <w:spacing w:after="0"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 权限</w:t>
      </w:r>
    </w:p>
    <w:p w14:paraId="2825B08B">
      <w:pPr>
        <w:numPr>
          <w:ilvl w:val="0"/>
          <w:numId w:val="77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管理层：查看全国全部数据；</w:t>
      </w:r>
    </w:p>
    <w:p w14:paraId="48F28216">
      <w:pPr>
        <w:numPr>
          <w:ilvl w:val="0"/>
          <w:numId w:val="78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区域经理：查看所辖区域数据；</w:t>
      </w:r>
    </w:p>
    <w:p w14:paraId="1A756BAC">
      <w:pPr>
        <w:numPr>
          <w:ilvl w:val="0"/>
          <w:numId w:val="79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一线销售：查看自己负责区域与个人数据；</w:t>
      </w:r>
    </w:p>
    <w:p w14:paraId="25B06B9F">
      <w:pPr>
        <w:numPr>
          <w:ilvl w:val="0"/>
          <w:numId w:val="80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敏感数据（如成交金额、储备金额）按角色脱敏。</w:t>
      </w:r>
    </w:p>
    <w:p w14:paraId="2DA10607">
      <w:pPr>
        <w:spacing w:after="0"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兼容性</w:t>
      </w:r>
    </w:p>
    <w:p w14:paraId="15710865">
      <w:pPr>
        <w:numPr>
          <w:ilvl w:val="0"/>
          <w:numId w:val="81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桌面端浏览器（Chrome/Edge最新版）；</w:t>
      </w:r>
    </w:p>
    <w:p w14:paraId="2C5BD9F8">
      <w:pPr>
        <w:numPr>
          <w:ilvl w:val="0"/>
          <w:numId w:val="82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地图引擎：需满足中国地理信息合规要求，使用合规地图服务（如高德地图</w:t>
      </w:r>
      <w:r>
        <w:rPr>
          <w:rFonts w:hint="eastAsia"/>
          <w:sz w:val="24"/>
          <w:szCs w:val="28"/>
        </w:rPr>
        <w:t>等</w:t>
      </w:r>
      <w:r>
        <w:rPr>
          <w:sz w:val="24"/>
          <w:szCs w:val="28"/>
        </w:rPr>
        <w:t>）。</w:t>
      </w:r>
    </w:p>
    <w:p w14:paraId="5AC5B950">
      <w:pPr>
        <w:spacing w:after="0"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地图合规</w:t>
      </w:r>
    </w:p>
    <w:p w14:paraId="6E631112">
      <w:pPr>
        <w:numPr>
          <w:ilvl w:val="0"/>
          <w:numId w:val="83"/>
        </w:numPr>
        <w:spacing w:after="0" w:line="276" w:lineRule="auto"/>
        <w:rPr>
          <w:sz w:val="24"/>
          <w:szCs w:val="28"/>
        </w:rPr>
      </w:pPr>
      <w:r>
        <w:rPr>
          <w:sz w:val="24"/>
          <w:szCs w:val="28"/>
        </w:rPr>
        <w:t>必须使用符合国家测绘标准的合规地图底图，国界、行政区划表达正确，不得使用不合规地图源。</w:t>
      </w:r>
    </w:p>
    <w:p w14:paraId="2965FCF4">
      <w:pPr>
        <w:spacing w:after="0" w:line="276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六、交付物清单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388"/>
      </w:tblGrid>
      <w:tr w14:paraId="7853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79967D23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交付物</w:t>
            </w:r>
          </w:p>
        </w:tc>
        <w:tc>
          <w:tcPr>
            <w:tcW w:w="3206" w:type="pct"/>
          </w:tcPr>
          <w:p w14:paraId="1D4B99AF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说明</w:t>
            </w:r>
          </w:p>
        </w:tc>
      </w:tr>
      <w:tr w14:paraId="0E74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38492C08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行业单位基础库</w:t>
            </w:r>
          </w:p>
        </w:tc>
        <w:tc>
          <w:tcPr>
            <w:tcW w:w="3206" w:type="pct"/>
          </w:tcPr>
          <w:p w14:paraId="6A2AFE8E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含筛选规则执行后的目标客户列表</w:t>
            </w:r>
          </w:p>
        </w:tc>
      </w:tr>
      <w:tr w14:paraId="77E8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232C2CB6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地图可视化系统</w:t>
            </w:r>
          </w:p>
        </w:tc>
        <w:tc>
          <w:tcPr>
            <w:tcW w:w="3206" w:type="pct"/>
          </w:tcPr>
          <w:p w14:paraId="70BC03C0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各需求图层叠加的交互式地图</w:t>
            </w:r>
          </w:p>
        </w:tc>
      </w:tr>
      <w:tr w14:paraId="5BA0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3C1DC6A1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区域分级看板</w:t>
            </w:r>
          </w:p>
        </w:tc>
        <w:tc>
          <w:tcPr>
            <w:tcW w:w="3206" w:type="pct"/>
          </w:tcPr>
          <w:p w14:paraId="5D59DDD6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自动分级+人工调整</w:t>
            </w:r>
          </w:p>
        </w:tc>
      </w:tr>
      <w:tr w14:paraId="77BE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2E1C1223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人员部署视图</w:t>
            </w:r>
          </w:p>
        </w:tc>
        <w:tc>
          <w:tcPr>
            <w:tcW w:w="3206" w:type="pct"/>
          </w:tcPr>
          <w:p w14:paraId="05F088DB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体量×覆盖对比</w:t>
            </w:r>
          </w:p>
        </w:tc>
      </w:tr>
      <w:tr w14:paraId="5275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756123DE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渠道布局视图</w:t>
            </w:r>
          </w:p>
        </w:tc>
        <w:tc>
          <w:tcPr>
            <w:tcW w:w="3206" w:type="pct"/>
          </w:tcPr>
          <w:p w14:paraId="2AA9E2FA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覆盖半径+空白区域</w:t>
            </w:r>
          </w:p>
        </w:tc>
      </w:tr>
      <w:tr w14:paraId="1C64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pct"/>
          </w:tcPr>
          <w:p w14:paraId="7A92C935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区域年度统计报表</w:t>
            </w:r>
          </w:p>
        </w:tc>
        <w:tc>
          <w:tcPr>
            <w:tcW w:w="3206" w:type="pct"/>
          </w:tcPr>
          <w:p w14:paraId="6C3DDD6E">
            <w:pPr>
              <w:spacing w:after="0"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可导出</w:t>
            </w:r>
          </w:p>
        </w:tc>
      </w:tr>
    </w:tbl>
    <w:p w14:paraId="4CF59EA9">
      <w:pPr>
        <w:spacing w:after="0" w:line="276" w:lineRule="auto"/>
        <w:rPr>
          <w:rFonts w:hint="eastAsia"/>
          <w:sz w:val="24"/>
          <w:szCs w:val="28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65849"/>
    <w:multiLevelType w:val="multilevel"/>
    <w:tmpl w:val="01665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DD2FF2"/>
    <w:multiLevelType w:val="multilevel"/>
    <w:tmpl w:val="01DD2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C84FF8"/>
    <w:multiLevelType w:val="multilevel"/>
    <w:tmpl w:val="02C84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39A568C"/>
    <w:multiLevelType w:val="multilevel"/>
    <w:tmpl w:val="039A5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3A926AD"/>
    <w:multiLevelType w:val="multilevel"/>
    <w:tmpl w:val="03A92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503655F"/>
    <w:multiLevelType w:val="multilevel"/>
    <w:tmpl w:val="05036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57224A4"/>
    <w:multiLevelType w:val="multilevel"/>
    <w:tmpl w:val="05722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5C574F0"/>
    <w:multiLevelType w:val="multilevel"/>
    <w:tmpl w:val="05C57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6397967"/>
    <w:multiLevelType w:val="multilevel"/>
    <w:tmpl w:val="06397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6AD5DA9"/>
    <w:multiLevelType w:val="multilevel"/>
    <w:tmpl w:val="06AD5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7520F80"/>
    <w:multiLevelType w:val="multilevel"/>
    <w:tmpl w:val="07520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8F95FF5"/>
    <w:multiLevelType w:val="multilevel"/>
    <w:tmpl w:val="08F95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AAD2FB1"/>
    <w:multiLevelType w:val="multilevel"/>
    <w:tmpl w:val="0AAD2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B975FC1"/>
    <w:multiLevelType w:val="multilevel"/>
    <w:tmpl w:val="0B975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0BB67AED"/>
    <w:multiLevelType w:val="multilevel"/>
    <w:tmpl w:val="0BB67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C3D1EFA"/>
    <w:multiLevelType w:val="multilevel"/>
    <w:tmpl w:val="0C3D1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CAB212A"/>
    <w:multiLevelType w:val="multilevel"/>
    <w:tmpl w:val="0CAB2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CB371FC"/>
    <w:multiLevelType w:val="multilevel"/>
    <w:tmpl w:val="0CB37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0D843C1E"/>
    <w:multiLevelType w:val="multilevel"/>
    <w:tmpl w:val="0D843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0BE6A60"/>
    <w:multiLevelType w:val="multilevel"/>
    <w:tmpl w:val="10BE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47165DE"/>
    <w:multiLevelType w:val="multilevel"/>
    <w:tmpl w:val="14716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7263B41"/>
    <w:multiLevelType w:val="multilevel"/>
    <w:tmpl w:val="17263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AB2446A"/>
    <w:multiLevelType w:val="multilevel"/>
    <w:tmpl w:val="1AB24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CAC2AA2"/>
    <w:multiLevelType w:val="multilevel"/>
    <w:tmpl w:val="1CAC2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1E183D92"/>
    <w:multiLevelType w:val="multilevel"/>
    <w:tmpl w:val="1E183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1E3F09FE"/>
    <w:multiLevelType w:val="multilevel"/>
    <w:tmpl w:val="1E3F0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11B3D45"/>
    <w:multiLevelType w:val="multilevel"/>
    <w:tmpl w:val="211B3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60835E2"/>
    <w:multiLevelType w:val="multilevel"/>
    <w:tmpl w:val="26083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7650C6B"/>
    <w:multiLevelType w:val="multilevel"/>
    <w:tmpl w:val="27650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94B6634"/>
    <w:multiLevelType w:val="multilevel"/>
    <w:tmpl w:val="294B6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2A68223C"/>
    <w:multiLevelType w:val="multilevel"/>
    <w:tmpl w:val="2A682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2C8A6196"/>
    <w:multiLevelType w:val="multilevel"/>
    <w:tmpl w:val="2C8A6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2D7F2A71"/>
    <w:multiLevelType w:val="multilevel"/>
    <w:tmpl w:val="2D7F2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2E721ABF"/>
    <w:multiLevelType w:val="multilevel"/>
    <w:tmpl w:val="2E721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33991F50"/>
    <w:multiLevelType w:val="multilevel"/>
    <w:tmpl w:val="33991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34BB32C6"/>
    <w:multiLevelType w:val="multilevel"/>
    <w:tmpl w:val="34BB3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3938481C"/>
    <w:multiLevelType w:val="multilevel"/>
    <w:tmpl w:val="39384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3B0E3D2E"/>
    <w:multiLevelType w:val="multilevel"/>
    <w:tmpl w:val="3B0E3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3B1E345D"/>
    <w:multiLevelType w:val="multilevel"/>
    <w:tmpl w:val="3B1E3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3C8F7B39"/>
    <w:multiLevelType w:val="multilevel"/>
    <w:tmpl w:val="3C8F7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3D0A78C5"/>
    <w:multiLevelType w:val="multilevel"/>
    <w:tmpl w:val="3D0A7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409F63E5"/>
    <w:multiLevelType w:val="multilevel"/>
    <w:tmpl w:val="409F6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416B7949"/>
    <w:multiLevelType w:val="multilevel"/>
    <w:tmpl w:val="416B7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42950EED"/>
    <w:multiLevelType w:val="multilevel"/>
    <w:tmpl w:val="42950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43A26E5E"/>
    <w:multiLevelType w:val="multilevel"/>
    <w:tmpl w:val="43A26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43AE3B08"/>
    <w:multiLevelType w:val="multilevel"/>
    <w:tmpl w:val="43AE3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44A810C8"/>
    <w:multiLevelType w:val="multilevel"/>
    <w:tmpl w:val="44A81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452C7BD3"/>
    <w:multiLevelType w:val="multilevel"/>
    <w:tmpl w:val="452C7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4672463C"/>
    <w:multiLevelType w:val="multilevel"/>
    <w:tmpl w:val="46724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46B66DDF"/>
    <w:multiLevelType w:val="multilevel"/>
    <w:tmpl w:val="46B66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489A1063"/>
    <w:multiLevelType w:val="multilevel"/>
    <w:tmpl w:val="489A1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4971317A"/>
    <w:multiLevelType w:val="multilevel"/>
    <w:tmpl w:val="49713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4A5B417C"/>
    <w:multiLevelType w:val="multilevel"/>
    <w:tmpl w:val="4A5B4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4AC22758"/>
    <w:multiLevelType w:val="multilevel"/>
    <w:tmpl w:val="4AC22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4ADE6ADF"/>
    <w:multiLevelType w:val="multilevel"/>
    <w:tmpl w:val="4ADE6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4D225D3C"/>
    <w:multiLevelType w:val="multilevel"/>
    <w:tmpl w:val="4D225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4D4049A4"/>
    <w:multiLevelType w:val="multilevel"/>
    <w:tmpl w:val="4D404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4E7A707C"/>
    <w:multiLevelType w:val="multilevel"/>
    <w:tmpl w:val="4E7A7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50087F32"/>
    <w:multiLevelType w:val="multilevel"/>
    <w:tmpl w:val="50087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500D3C67"/>
    <w:multiLevelType w:val="multilevel"/>
    <w:tmpl w:val="500D3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50951CCA"/>
    <w:multiLevelType w:val="multilevel"/>
    <w:tmpl w:val="50951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5380128F"/>
    <w:multiLevelType w:val="multilevel"/>
    <w:tmpl w:val="53801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54405934"/>
    <w:multiLevelType w:val="multilevel"/>
    <w:tmpl w:val="54405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56E67326"/>
    <w:multiLevelType w:val="multilevel"/>
    <w:tmpl w:val="56E67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57FD5DDA"/>
    <w:multiLevelType w:val="multilevel"/>
    <w:tmpl w:val="57FD5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59B67327"/>
    <w:multiLevelType w:val="multilevel"/>
    <w:tmpl w:val="59B67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5A3449AC"/>
    <w:multiLevelType w:val="multilevel"/>
    <w:tmpl w:val="5A344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5D8920C5"/>
    <w:multiLevelType w:val="multilevel"/>
    <w:tmpl w:val="5D892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5F557AA2"/>
    <w:multiLevelType w:val="multilevel"/>
    <w:tmpl w:val="5F557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643F0BED"/>
    <w:multiLevelType w:val="multilevel"/>
    <w:tmpl w:val="643F0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64A85D4F"/>
    <w:multiLevelType w:val="multilevel"/>
    <w:tmpl w:val="64A85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66453FB8"/>
    <w:multiLevelType w:val="multilevel"/>
    <w:tmpl w:val="66453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66A816B2"/>
    <w:multiLevelType w:val="multilevel"/>
    <w:tmpl w:val="66A81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6AD95D2D"/>
    <w:multiLevelType w:val="multilevel"/>
    <w:tmpl w:val="6AD95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6E3C436F"/>
    <w:multiLevelType w:val="multilevel"/>
    <w:tmpl w:val="6E3C4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6F113DFB"/>
    <w:multiLevelType w:val="multilevel"/>
    <w:tmpl w:val="6F113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70287233"/>
    <w:multiLevelType w:val="multilevel"/>
    <w:tmpl w:val="70287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708035C0"/>
    <w:multiLevelType w:val="multilevel"/>
    <w:tmpl w:val="70803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70D44E03"/>
    <w:multiLevelType w:val="multilevel"/>
    <w:tmpl w:val="70D44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70FC43C4"/>
    <w:multiLevelType w:val="multilevel"/>
    <w:tmpl w:val="70FC4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71C44FB3"/>
    <w:multiLevelType w:val="multilevel"/>
    <w:tmpl w:val="71C44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78175585"/>
    <w:multiLevelType w:val="multilevel"/>
    <w:tmpl w:val="78175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7F3D1C43"/>
    <w:multiLevelType w:val="multilevel"/>
    <w:tmpl w:val="7F3D1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1"/>
  </w:num>
  <w:num w:numId="2">
    <w:abstractNumId w:val="72"/>
  </w:num>
  <w:num w:numId="3">
    <w:abstractNumId w:val="19"/>
  </w:num>
  <w:num w:numId="4">
    <w:abstractNumId w:val="4"/>
  </w:num>
  <w:num w:numId="5">
    <w:abstractNumId w:val="80"/>
  </w:num>
  <w:num w:numId="6">
    <w:abstractNumId w:val="22"/>
  </w:num>
  <w:num w:numId="7">
    <w:abstractNumId w:val="46"/>
  </w:num>
  <w:num w:numId="8">
    <w:abstractNumId w:val="15"/>
  </w:num>
  <w:num w:numId="9">
    <w:abstractNumId w:val="47"/>
  </w:num>
  <w:num w:numId="10">
    <w:abstractNumId w:val="69"/>
  </w:num>
  <w:num w:numId="11">
    <w:abstractNumId w:val="5"/>
  </w:num>
  <w:num w:numId="12">
    <w:abstractNumId w:val="10"/>
  </w:num>
  <w:num w:numId="13">
    <w:abstractNumId w:val="36"/>
  </w:num>
  <w:num w:numId="14">
    <w:abstractNumId w:val="37"/>
  </w:num>
  <w:num w:numId="15">
    <w:abstractNumId w:val="38"/>
  </w:num>
  <w:num w:numId="16">
    <w:abstractNumId w:val="48"/>
  </w:num>
  <w:num w:numId="17">
    <w:abstractNumId w:val="59"/>
  </w:num>
  <w:num w:numId="18">
    <w:abstractNumId w:val="68"/>
  </w:num>
  <w:num w:numId="19">
    <w:abstractNumId w:val="77"/>
  </w:num>
  <w:num w:numId="20">
    <w:abstractNumId w:val="11"/>
  </w:num>
  <w:num w:numId="21">
    <w:abstractNumId w:val="1"/>
  </w:num>
  <w:num w:numId="22">
    <w:abstractNumId w:val="16"/>
  </w:num>
  <w:num w:numId="23">
    <w:abstractNumId w:val="75"/>
  </w:num>
  <w:num w:numId="24">
    <w:abstractNumId w:val="33"/>
  </w:num>
  <w:num w:numId="25">
    <w:abstractNumId w:val="63"/>
  </w:num>
  <w:num w:numId="26">
    <w:abstractNumId w:val="14"/>
  </w:num>
  <w:num w:numId="27">
    <w:abstractNumId w:val="56"/>
  </w:num>
  <w:num w:numId="28">
    <w:abstractNumId w:val="76"/>
  </w:num>
  <w:num w:numId="29">
    <w:abstractNumId w:val="40"/>
  </w:num>
  <w:num w:numId="30">
    <w:abstractNumId w:val="70"/>
  </w:num>
  <w:num w:numId="31">
    <w:abstractNumId w:val="54"/>
  </w:num>
  <w:num w:numId="32">
    <w:abstractNumId w:val="7"/>
  </w:num>
  <w:num w:numId="33">
    <w:abstractNumId w:val="28"/>
  </w:num>
  <w:num w:numId="34">
    <w:abstractNumId w:val="20"/>
  </w:num>
  <w:num w:numId="35">
    <w:abstractNumId w:val="67"/>
  </w:num>
  <w:num w:numId="36">
    <w:abstractNumId w:val="71"/>
  </w:num>
  <w:num w:numId="37">
    <w:abstractNumId w:val="17"/>
  </w:num>
  <w:num w:numId="38">
    <w:abstractNumId w:val="0"/>
  </w:num>
  <w:num w:numId="39">
    <w:abstractNumId w:val="64"/>
  </w:num>
  <w:num w:numId="40">
    <w:abstractNumId w:val="44"/>
  </w:num>
  <w:num w:numId="41">
    <w:abstractNumId w:val="66"/>
  </w:num>
  <w:num w:numId="42">
    <w:abstractNumId w:val="41"/>
  </w:num>
  <w:num w:numId="43">
    <w:abstractNumId w:val="82"/>
  </w:num>
  <w:num w:numId="44">
    <w:abstractNumId w:val="65"/>
  </w:num>
  <w:num w:numId="45">
    <w:abstractNumId w:val="53"/>
  </w:num>
  <w:num w:numId="46">
    <w:abstractNumId w:val="42"/>
  </w:num>
  <w:num w:numId="47">
    <w:abstractNumId w:val="30"/>
  </w:num>
  <w:num w:numId="48">
    <w:abstractNumId w:val="8"/>
  </w:num>
  <w:num w:numId="49">
    <w:abstractNumId w:val="79"/>
  </w:num>
  <w:num w:numId="50">
    <w:abstractNumId w:val="21"/>
  </w:num>
  <w:num w:numId="51">
    <w:abstractNumId w:val="23"/>
  </w:num>
  <w:num w:numId="52">
    <w:abstractNumId w:val="73"/>
  </w:num>
  <w:num w:numId="53">
    <w:abstractNumId w:val="29"/>
  </w:num>
  <w:num w:numId="54">
    <w:abstractNumId w:val="18"/>
  </w:num>
  <w:num w:numId="55">
    <w:abstractNumId w:val="27"/>
  </w:num>
  <w:num w:numId="56">
    <w:abstractNumId w:val="51"/>
  </w:num>
  <w:num w:numId="57">
    <w:abstractNumId w:val="13"/>
  </w:num>
  <w:num w:numId="58">
    <w:abstractNumId w:val="24"/>
  </w:num>
  <w:num w:numId="59">
    <w:abstractNumId w:val="9"/>
  </w:num>
  <w:num w:numId="60">
    <w:abstractNumId w:val="74"/>
  </w:num>
  <w:num w:numId="61">
    <w:abstractNumId w:val="26"/>
  </w:num>
  <w:num w:numId="62">
    <w:abstractNumId w:val="55"/>
  </w:num>
  <w:num w:numId="63">
    <w:abstractNumId w:val="32"/>
  </w:num>
  <w:num w:numId="64">
    <w:abstractNumId w:val="50"/>
  </w:num>
  <w:num w:numId="65">
    <w:abstractNumId w:val="52"/>
  </w:num>
  <w:num w:numId="66">
    <w:abstractNumId w:val="2"/>
  </w:num>
  <w:num w:numId="67">
    <w:abstractNumId w:val="3"/>
  </w:num>
  <w:num w:numId="68">
    <w:abstractNumId w:val="35"/>
  </w:num>
  <w:num w:numId="69">
    <w:abstractNumId w:val="81"/>
  </w:num>
  <w:num w:numId="70">
    <w:abstractNumId w:val="34"/>
  </w:num>
  <w:num w:numId="71">
    <w:abstractNumId w:val="60"/>
  </w:num>
  <w:num w:numId="72">
    <w:abstractNumId w:val="45"/>
  </w:num>
  <w:num w:numId="73">
    <w:abstractNumId w:val="25"/>
  </w:num>
  <w:num w:numId="74">
    <w:abstractNumId w:val="12"/>
  </w:num>
  <w:num w:numId="75">
    <w:abstractNumId w:val="57"/>
  </w:num>
  <w:num w:numId="76">
    <w:abstractNumId w:val="43"/>
  </w:num>
  <w:num w:numId="77">
    <w:abstractNumId w:val="6"/>
  </w:num>
  <w:num w:numId="78">
    <w:abstractNumId w:val="62"/>
  </w:num>
  <w:num w:numId="79">
    <w:abstractNumId w:val="78"/>
  </w:num>
  <w:num w:numId="80">
    <w:abstractNumId w:val="39"/>
  </w:num>
  <w:num w:numId="81">
    <w:abstractNumId w:val="58"/>
  </w:num>
  <w:num w:numId="82">
    <w:abstractNumId w:val="61"/>
  </w:num>
  <w:num w:numId="8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2F"/>
    <w:rsid w:val="00043C4D"/>
    <w:rsid w:val="00212896"/>
    <w:rsid w:val="00295965"/>
    <w:rsid w:val="00384E6A"/>
    <w:rsid w:val="003F1B4A"/>
    <w:rsid w:val="005D45BE"/>
    <w:rsid w:val="0067267D"/>
    <w:rsid w:val="00790FFC"/>
    <w:rsid w:val="007E522F"/>
    <w:rsid w:val="008A1FAD"/>
    <w:rsid w:val="008F0C65"/>
    <w:rsid w:val="00933681"/>
    <w:rsid w:val="009C641C"/>
    <w:rsid w:val="00A518E4"/>
    <w:rsid w:val="00B369E7"/>
    <w:rsid w:val="00B81E9D"/>
    <w:rsid w:val="00DB08F5"/>
    <w:rsid w:val="00DC0FC6"/>
    <w:rsid w:val="00E34412"/>
    <w:rsid w:val="00E57F84"/>
    <w:rsid w:val="00E82D70"/>
    <w:rsid w:val="00EC4D46"/>
    <w:rsid w:val="00EE6E27"/>
    <w:rsid w:val="00F77A20"/>
    <w:rsid w:val="2F594BBE"/>
    <w:rsid w:val="6E72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Grid Table Light"/>
    <w:basedOn w:val="14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2627</Words>
  <Characters>2685</Characters>
  <Lines>33</Lines>
  <Paragraphs>9</Paragraphs>
  <TotalTime>394</TotalTime>
  <ScaleCrop>false</ScaleCrop>
  <LinksUpToDate>false</LinksUpToDate>
  <CharactersWithSpaces>2715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2026-08-03T02:30:00Z</dcterms:created>
  <dc:creator>Nancy X</dc:creator>
  <cp:lastModifiedBy>ALLEN单</cp:lastModifiedBy>
  <dcterms:modified xsi:type="dcterms:W3CDTF">2026-08-04T08:34:03Z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CAB557030A42477A8D25FABFCA4EE750_13</vt:lpwstr>
  </property>
  <property fmtid="{D5CDD505-2E9C-101B-9397-08002B2CF9AE}" pid="4" name="KSOTemplateDocerSaveRecord">
    <vt:lpwstr>eyJoZGlkIjoiYWQ5Mjc4OTRmN2JkZDkxYmNhNmY3MTFkYmZiYmIyZDAiLCJ1c2VySWQiOiI1NTg5MTIyNDgifQ==</vt:lpwstr>
  </property>
</Properties>
</file>