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DA8EFF" w14:textId="352C5FCE" w:rsidR="007A6D28" w:rsidRDefault="007A6D28" w:rsidP="00F07BFC">
      <w:pPr>
        <w:pStyle w:val="Heading1"/>
      </w:pPr>
      <w:r>
        <w:rPr>
          <w:rFonts w:hint="eastAsia"/>
        </w:rPr>
        <w:t>财产保全</w:t>
      </w:r>
    </w:p>
    <w:p w14:paraId="4EB114E6" w14:textId="77777777" w:rsidR="007A6D28" w:rsidRDefault="007A6D28" w:rsidP="007A6D28">
      <w:pPr>
        <w:rPr>
          <w:rFonts w:ascii="Microsoft YaHei UI" w:eastAsia="Microsoft YaHei UI" w:hAnsi="Microsoft YaHei UI"/>
        </w:rPr>
      </w:pPr>
      <w:r w:rsidRPr="007A6D28">
        <w:rPr>
          <w:rFonts w:ascii="Microsoft YaHei UI" w:eastAsia="Microsoft YaHei UI" w:hAnsi="Microsoft YaHei UI"/>
        </w:rPr>
        <w:t>财产保全以是否起诉划分为诉前保全与诉中保全。诉前保全要求情况紧急，不保全将产生难以弥补损害，管辖法院为被保全财产所在地、被申请人住所地、案件管辖法院三地择一，申请人应当提供担保，担保数额原则上与请求保全数额相当，法院 48 小时内作出裁定并立即执行，申请人须在保全作出后 30 日内起诉或申请仲裁，逾期法院应当解除保全；</w:t>
      </w:r>
    </w:p>
    <w:p w14:paraId="582774DD" w14:textId="490DA9A3" w:rsidR="007A6D28" w:rsidRPr="007A6D28" w:rsidRDefault="007A6D28" w:rsidP="007A6D28">
      <w:pPr>
        <w:rPr>
          <w:rFonts w:ascii="Microsoft YaHei UI" w:eastAsia="Microsoft YaHei UI" w:hAnsi="Microsoft YaHei UI" w:hint="eastAsia"/>
        </w:rPr>
      </w:pPr>
      <w:r w:rsidRPr="007A6D28">
        <w:rPr>
          <w:rFonts w:ascii="Microsoft YaHei UI" w:eastAsia="Microsoft YaHei UI" w:hAnsi="Microsoft YaHei UI"/>
        </w:rPr>
        <w:t>驳回保全申请: 该保全还须以不影响公司正常经营为条件；若法院认为采取保全措施将影响公司正常经营，应不予保全;  诉中保全向受诉法院提出，除当事人申请外，法院必要时可依职权启动，法院可以责令申请人提供担保，担保数额由法院酌情确定，紧急情形同样 48 小时内裁定。两类保全共同规则：保全范围限于请求范围或本案相关财物；保全方式采用查封、扣押、冻结，禁止重复查封冻结 ,生效判决的执行法院（是第一审法院，不是二审中院）；财产纠纷案件中被申请人提供担保的，法院应当解除保全。诉前保全后当事人向其他有管辖权法院起诉的，保全法院移送保全手续，保全裁定视为受诉法院作出；法律文书生效后、执行前可向执行法院申请保全(执前保全)，履行期届满 5 日内不申请执行应当解除保全；保全措施转入执行程序自动转化为执行查封、扣押、冻结，无需重新制作裁定。</w:t>
      </w:r>
    </w:p>
    <w:p w14:paraId="78D6A040" w14:textId="646D6C24" w:rsidR="00216404" w:rsidRDefault="00216404" w:rsidP="00F07BFC">
      <w:pPr>
        <w:pStyle w:val="Heading1"/>
        <w:rPr>
          <w:rFonts w:hint="eastAsia"/>
        </w:rPr>
      </w:pPr>
      <w:r>
        <w:rPr>
          <w:rFonts w:hint="eastAsia"/>
        </w:rPr>
        <w:t>行为保全</w:t>
      </w:r>
    </w:p>
    <w:p w14:paraId="1B47451C" w14:textId="352F7635" w:rsidR="00216404" w:rsidRDefault="00216404">
      <w:pPr>
        <w:rPr>
          <w:rFonts w:ascii="Microsoft YaHei UI" w:eastAsia="Microsoft YaHei UI" w:hAnsi="Microsoft YaHei UI"/>
        </w:rPr>
      </w:pPr>
      <w:r w:rsidRPr="00216404">
        <w:rPr>
          <w:rFonts w:ascii="Microsoft YaHei UI" w:eastAsia="Microsoft YaHei UI" w:hAnsi="Microsoft YaHei UI"/>
        </w:rPr>
        <w:t>行为保全依据《民事诉讼法》第 103 条，法院可裁定责令行为人作出一定行为或者禁止其作出一定行为，程序规则参照财产保全区分诉前、诉中；诉前行为保全担保数额由法院结合案情酌情确定，不似诉前财产保全以请求数额作为参照标准。与行为保全极易混淆的两类独立制度需要区分：</w:t>
      </w:r>
    </w:p>
    <w:p w14:paraId="6D16B741" w14:textId="6D1762A0" w:rsidR="00216404" w:rsidRDefault="00216404">
      <w:pPr>
        <w:rPr>
          <w:rFonts w:ascii="Microsoft YaHei UI" w:eastAsia="Microsoft YaHei UI" w:hAnsi="Microsoft YaHei UI"/>
        </w:rPr>
      </w:pPr>
      <w:r w:rsidRPr="00216404">
        <w:rPr>
          <w:rFonts w:ascii="Microsoft YaHei UI" w:eastAsia="Microsoft YaHei UI" w:hAnsi="Microsoft YaHei UI"/>
        </w:rPr>
        <w:t>人身安全保护令依据《反家庭暴力法》，属于独立案件，无需依附离婚等诉讼即可单独申请；家庭成员以外共同生活人员之间的暴力行为参照适用；当事人不服裁定，应当自裁定生效五日内向作出裁定的法院申请复议一次，复议期间不停止执行。</w:t>
      </w:r>
    </w:p>
    <w:p w14:paraId="471A1F59" w14:textId="77777777" w:rsidR="00216404" w:rsidRDefault="00216404">
      <w:pPr>
        <w:rPr>
          <w:rFonts w:ascii="Microsoft YaHei UI" w:eastAsia="Microsoft YaHei UI" w:hAnsi="Microsoft YaHei UI"/>
        </w:rPr>
      </w:pPr>
      <w:r w:rsidRPr="00216404">
        <w:rPr>
          <w:rFonts w:ascii="Microsoft YaHei UI" w:eastAsia="Microsoft YaHei UI" w:hAnsi="Microsoft YaHei UI"/>
        </w:rPr>
        <w:lastRenderedPageBreak/>
        <w:t>人格权禁令依据《民法典》第 997 条，属于实体法确立的独立救济制度，民事主体有证据证明行为人正在或者即将实施侵害人格权的违法行为，不及时制止将遭受难以弥补损害即可申请；该制度不以提起诉讼为前提，不适用诉前保全三十日内起诉、逾期解除保全的规则。</w:t>
      </w:r>
    </w:p>
    <w:p w14:paraId="60BF9EE9" w14:textId="50317724" w:rsidR="00216404" w:rsidRDefault="00216404">
      <w:pPr>
        <w:rPr>
          <w:rFonts w:ascii="Microsoft YaHei UI" w:eastAsia="Microsoft YaHei UI" w:hAnsi="Microsoft YaHei UI"/>
        </w:rPr>
      </w:pPr>
      <w:r w:rsidRPr="00216404">
        <w:rPr>
          <w:rFonts w:ascii="Microsoft YaHei UI" w:eastAsia="Microsoft YaHei UI" w:hAnsi="Microsoft YaHei UI"/>
        </w:rPr>
        <w:t>三者核心区分要点：行为保全依附诉讼程序，诉前行为保全受三十日内起诉规则约束；人身安全保护令、人格权禁令为独立程序，无需依托诉讼。</w:t>
      </w:r>
    </w:p>
    <w:p w14:paraId="1826117D" w14:textId="6C4727C8" w:rsidR="00754901" w:rsidRDefault="007D4D5F">
      <w:pPr>
        <w:rPr>
          <w:rFonts w:ascii="Microsoft YaHei UI" w:eastAsia="Microsoft YaHei UI" w:hAnsi="Microsoft YaHei UI" w:hint="eastAsia"/>
        </w:rPr>
      </w:pPr>
      <w:r w:rsidRPr="007D4D5F">
        <w:rPr>
          <w:rFonts w:ascii="Microsoft YaHei UI" w:eastAsia="Microsoft YaHei UI" w:hAnsi="Microsoft YaHei UI"/>
        </w:rPr>
        <w:t>和解撤诉、法院准许，保全不会自动解除，须当事人申请解封；不解封造成损失，申请人承担赔偿责任。</w:t>
      </w:r>
    </w:p>
    <w:p w14:paraId="667701E6" w14:textId="77777777" w:rsidR="00F07BFC" w:rsidRDefault="00F07BFC" w:rsidP="00F07BFC">
      <w:pPr>
        <w:pStyle w:val="Heading1"/>
      </w:pPr>
      <w:r w:rsidRPr="00F07BFC">
        <w:t>先予执行</w:t>
      </w:r>
    </w:p>
    <w:p w14:paraId="0E1AFF5E" w14:textId="77777777" w:rsidR="00F07BFC" w:rsidRDefault="00F07BFC" w:rsidP="00F07BFC">
      <w:pPr>
        <w:pStyle w:val="NormalWeb"/>
        <w:rPr>
          <w:rFonts w:ascii="Microsoft YaHei UI" w:eastAsia="Microsoft YaHei UI" w:hAnsi="Microsoft YaHei UI" w:cstheme="minorBidi"/>
          <w:kern w:val="2"/>
          <w14:ligatures w14:val="standardContextual"/>
        </w:rPr>
      </w:pPr>
      <w:r>
        <w:rPr>
          <w:rFonts w:ascii="Microsoft YaHei UI" w:eastAsia="Microsoft YaHei UI" w:hAnsi="Microsoft YaHei UI" w:cstheme="minorBidi" w:hint="eastAsia"/>
          <w:kern w:val="2"/>
          <w14:ligatures w14:val="standardContextual"/>
        </w:rPr>
        <w:t>先与执行</w:t>
      </w:r>
      <w:r w:rsidRPr="00F07BFC">
        <w:rPr>
          <w:rFonts w:ascii="Microsoft YaHei UI" w:eastAsia="Microsoft YaHei UI" w:hAnsi="Microsoft YaHei UI" w:cstheme="minorBidi" w:hint="eastAsia"/>
          <w:kern w:val="2"/>
          <w14:ligatures w14:val="standardContextual"/>
        </w:rPr>
        <w:t>是法院受理案件后、终审判决作出前，依当事人申请裁定义务人预先履行义务的制度，法院</w:t>
      </w:r>
      <w:r w:rsidRPr="00F07BFC">
        <w:rPr>
          <w:rFonts w:ascii="Microsoft YaHei UI" w:eastAsia="Microsoft YaHei UI" w:hAnsi="Microsoft YaHei UI" w:cstheme="minorBidi"/>
          <w:kern w:val="2"/>
          <w14:ligatures w14:val="standardContextual"/>
        </w:rPr>
        <w:t>不得依职权启动</w:t>
      </w:r>
      <w:r w:rsidRPr="00F07BFC">
        <w:rPr>
          <w:rFonts w:ascii="Microsoft YaHei UI" w:eastAsia="Microsoft YaHei UI" w:hAnsi="Microsoft YaHei UI" w:cstheme="minorBidi" w:hint="eastAsia"/>
          <w:kern w:val="2"/>
          <w14:ligatures w14:val="standardContextual"/>
        </w:rPr>
        <w:t>。</w:t>
      </w:r>
      <w:r w:rsidRPr="00F07BFC">
        <w:rPr>
          <w:rFonts w:ascii="Microsoft YaHei UI" w:eastAsia="Microsoft YaHei UI" w:hAnsi="Microsoft YaHei UI" w:cstheme="minorBidi" w:hint="eastAsia"/>
          <w:b/>
          <w:bCs/>
          <w:kern w:val="2"/>
          <w14:ligatures w14:val="standardContextual"/>
        </w:rPr>
        <w:t>适用范围</w:t>
      </w:r>
      <w:r w:rsidRPr="00F07BFC">
        <w:rPr>
          <w:rFonts w:ascii="Microsoft YaHei UI" w:eastAsia="Microsoft YaHei UI" w:hAnsi="Microsoft YaHei UI" w:cstheme="minorBidi" w:hint="eastAsia"/>
          <w:kern w:val="2"/>
          <w14:ligatures w14:val="standardContextual"/>
        </w:rPr>
        <w:t>分为三类：</w:t>
      </w:r>
    </w:p>
    <w:p w14:paraId="3C228DD3" w14:textId="209BA523" w:rsidR="00F07BFC" w:rsidRDefault="00F07BFC" w:rsidP="00F07BFC">
      <w:pPr>
        <w:pStyle w:val="NormalWeb"/>
        <w:numPr>
          <w:ilvl w:val="0"/>
          <w:numId w:val="1"/>
        </w:numPr>
        <w:rPr>
          <w:rFonts w:ascii="Microsoft YaHei UI" w:eastAsia="Microsoft YaHei UI" w:hAnsi="Microsoft YaHei UI" w:cstheme="minorBidi"/>
          <w:kern w:val="2"/>
          <w14:ligatures w14:val="standardContextual"/>
        </w:rPr>
      </w:pPr>
      <w:r w:rsidRPr="00F07BFC">
        <w:rPr>
          <w:rFonts w:ascii="Microsoft YaHei UI" w:eastAsia="Microsoft YaHei UI" w:hAnsi="Microsoft YaHei UI" w:cstheme="minorBidi" w:hint="eastAsia"/>
          <w:kern w:val="2"/>
          <w14:ligatures w14:val="standardContextual"/>
        </w:rPr>
        <w:t>追索赡养费、扶养费、抚养费、抚恤金、医疗费用；</w:t>
      </w:r>
    </w:p>
    <w:p w14:paraId="7D31E465" w14:textId="77777777" w:rsidR="00F07BFC" w:rsidRDefault="00F07BFC" w:rsidP="00F07BFC">
      <w:pPr>
        <w:pStyle w:val="NormalWeb"/>
        <w:numPr>
          <w:ilvl w:val="0"/>
          <w:numId w:val="1"/>
        </w:numPr>
        <w:rPr>
          <w:rFonts w:ascii="Microsoft YaHei UI" w:eastAsia="Microsoft YaHei UI" w:hAnsi="Microsoft YaHei UI" w:cstheme="minorBidi"/>
          <w:kern w:val="2"/>
          <w14:ligatures w14:val="standardContextual"/>
        </w:rPr>
      </w:pPr>
      <w:r w:rsidRPr="00F07BFC">
        <w:rPr>
          <w:rFonts w:ascii="Microsoft YaHei UI" w:eastAsia="Microsoft YaHei UI" w:hAnsi="Microsoft YaHei UI" w:cstheme="minorBidi" w:hint="eastAsia"/>
          <w:kern w:val="2"/>
          <w14:ligatures w14:val="standardContextual"/>
        </w:rPr>
        <w:t>追索劳动报酬；</w:t>
      </w:r>
    </w:p>
    <w:p w14:paraId="57E9CCB5" w14:textId="3E48C91D" w:rsidR="00F07BFC" w:rsidRPr="00754901" w:rsidRDefault="00F07BFC" w:rsidP="00F07BFC">
      <w:pPr>
        <w:pStyle w:val="NormalWeb"/>
        <w:numPr>
          <w:ilvl w:val="0"/>
          <w:numId w:val="1"/>
        </w:numPr>
        <w:rPr>
          <w:rFonts w:ascii="Microsoft YaHei UI" w:eastAsia="Microsoft YaHei UI" w:hAnsi="Microsoft YaHei UI" w:cstheme="minorBidi" w:hint="eastAsia"/>
          <w:kern w:val="2"/>
          <w14:ligatures w14:val="standardContextual"/>
        </w:rPr>
      </w:pPr>
      <w:r w:rsidRPr="00F07BFC">
        <w:rPr>
          <w:rFonts w:ascii="Microsoft YaHei UI" w:eastAsia="Microsoft YaHei UI" w:hAnsi="Microsoft YaHei UI" w:cstheme="minorBidi" w:hint="eastAsia"/>
          <w:kern w:val="2"/>
          <w14:ligatures w14:val="standardContextual"/>
        </w:rPr>
        <w:t>因情况紧急需要先予执行，情况紧急具体包含五类情形：需立即停止侵害、排除妨碍，立即制止某项行为，追索恢复生产经营急需的保险理赔费，立即返还社保金、社会救助资金，不立即返还款项将严重影响权利人生活、生产经营。</w:t>
      </w:r>
    </w:p>
    <w:p w14:paraId="3C4E32BF" w14:textId="77777777" w:rsidR="002629B2" w:rsidRDefault="00F07BFC" w:rsidP="002629B2">
      <w:pPr>
        <w:pStyle w:val="NormalWeb"/>
        <w:rPr>
          <w:rFonts w:ascii="Microsoft YaHei UI" w:eastAsia="Microsoft YaHei UI" w:hAnsi="Microsoft YaHei UI" w:cstheme="minorBidi"/>
          <w:kern w:val="2"/>
          <w14:ligatures w14:val="standardContextual"/>
        </w:rPr>
      </w:pPr>
      <w:r w:rsidRPr="00F07BFC">
        <w:rPr>
          <w:rFonts w:ascii="Microsoft YaHei UI" w:eastAsia="Microsoft YaHei UI" w:hAnsi="Microsoft YaHei UI" w:cstheme="minorBidi" w:hint="eastAsia"/>
          <w:kern w:val="2"/>
          <w14:ligatures w14:val="standardContextual"/>
        </w:rPr>
        <w:t>适用两项</w:t>
      </w:r>
      <w:r w:rsidRPr="00F07BFC">
        <w:rPr>
          <w:rFonts w:ascii="Microsoft YaHei UI" w:eastAsia="Microsoft YaHei UI" w:hAnsi="Microsoft YaHei UI" w:cstheme="minorBidi" w:hint="eastAsia"/>
          <w:b/>
          <w:bCs/>
          <w:kern w:val="2"/>
          <w14:ligatures w14:val="standardContextual"/>
        </w:rPr>
        <w:t>必备条件</w:t>
      </w:r>
      <w:r>
        <w:rPr>
          <w:rFonts w:ascii="Microsoft YaHei UI" w:eastAsia="Microsoft YaHei UI" w:hAnsi="Microsoft YaHei UI" w:cstheme="minorBidi"/>
          <w:kern w:val="2"/>
          <w14:ligatures w14:val="standardContextual"/>
        </w:rPr>
        <w:t xml:space="preserve">: </w:t>
      </w:r>
      <w:r w:rsidRPr="00F07BFC">
        <w:rPr>
          <w:rFonts w:ascii="Microsoft YaHei UI" w:eastAsia="Microsoft YaHei UI" w:hAnsi="Microsoft YaHei UI" w:cstheme="minorBidi" w:hint="eastAsia"/>
          <w:kern w:val="2"/>
          <w14:ligatures w14:val="standardContextual"/>
        </w:rPr>
        <w:t>当事人之间权利义务关系明确，不先予执行将严重影响申请人生活或生产经营，且被申请人具备履行能力。法院可以责令申请人提供担保，申请人不提供担保则驳回申请；若申请人最终败诉，应当赔偿被申请人因先予执行遭受的财产损失。先予执行范围限于当事人诉讼请求之内，以生活、生产经营急需为限。劳动仲裁程序存在特殊规则：追索劳动报酬、工伤医疗费、经济补偿或赔偿金案件，仲裁庭可裁决先予执行，裁决移送人民法院实施执行；劳动者申请先予执行，可以不提供担保。申请人败诉，需要返还依据先予执行取得利益的，适用执行回转规则。</w:t>
      </w:r>
      <w:r w:rsidR="007D4D5F" w:rsidRPr="007D4D5F">
        <w:rPr>
          <w:rFonts w:ascii="Microsoft YaHei UI" w:eastAsia="Microsoft YaHei UI" w:hAnsi="Microsoft YaHei UI" w:cstheme="minorBidi"/>
          <w:kern w:val="2"/>
          <w14:ligatures w14:val="standardContextual"/>
        </w:rPr>
        <w:t>和解撤诉、法院准许，款项已经实际给付；有约定从约定，无约定义务人只能另行起诉主张返还，本案内无法继续处理。</w:t>
      </w:r>
    </w:p>
    <w:p w14:paraId="7E108156" w14:textId="1EFD9A3D" w:rsidR="002629B2" w:rsidRDefault="002629B2" w:rsidP="002629B2">
      <w:pPr>
        <w:pStyle w:val="Heading1"/>
      </w:pPr>
      <w:r w:rsidRPr="002629B2">
        <w:lastRenderedPageBreak/>
        <w:t>起诉条件与立案登记</w:t>
      </w:r>
    </w:p>
    <w:p w14:paraId="4DABF50C" w14:textId="1BB9C043" w:rsidR="005B2893" w:rsidRDefault="002629B2" w:rsidP="002629B2">
      <w:pPr>
        <w:rPr>
          <w:rFonts w:ascii="Microsoft YaHei UI" w:eastAsia="Microsoft YaHei UI" w:hAnsi="Microsoft YaHei UI" w:hint="eastAsia"/>
        </w:rPr>
      </w:pPr>
      <w:r w:rsidRPr="002629B2">
        <w:rPr>
          <w:rFonts w:ascii="Microsoft YaHei UI" w:eastAsia="Microsoft YaHei UI" w:hAnsi="Microsoft YaHei UI"/>
        </w:rPr>
        <w:t>起诉应当向人民法院递交起诉状，并按照被告人数提出副本, 书写困难可口头起诉； 人民法院接到当事人提交的民事起诉状时，对符合民事诉讼法第一百二十二条的规定(①原告有直接利害关系；②明确被告；③具体诉请、事实理由；④属于民事受案范围 + 本院管辖。)，且不属于第一百二十七条(①属于行政诉讼；②存在有效书面仲裁协议；③应当由行政机关处理；④不属于本院管辖；⑤生效裁判重复起诉（撤诉除外）；⑥法定禁诉期内起诉；⑥离婚 / 收养关系案件 6 个月内无新情况再次起诉)规定情形的，应当登记立案；对当场不能判定是否符合起诉条件的，应当接收起诉材料，并出具注明收到日期的书面凭证。反而, 如果处罚 1–4 项：法院先行告知途径；原告坚持起诉，才裁定不予受理；5–7 项：符合条件直接不予受理；材料不齐及时告知补正；补齐材料后七日内作出处理，符合条件七日内立案通知当事人，不符合条件七日内出具不予受理裁定书，原告不服裁定有权上诉。</w:t>
      </w:r>
      <w:r w:rsidR="0022147D" w:rsidRPr="002629B2">
        <w:rPr>
          <w:rFonts w:ascii="Microsoft YaHei UI" w:eastAsia="Microsoft YaHei UI" w:hAnsi="Microsoft YaHei UI"/>
        </w:rPr>
        <w:t>撤诉后可再次起诉；离婚 6 个月限制只约束原告。</w:t>
      </w:r>
    </w:p>
    <w:p w14:paraId="5A58F9E2" w14:textId="723083F2" w:rsidR="005B2893" w:rsidRDefault="005B2893" w:rsidP="005B2893">
      <w:pPr>
        <w:pStyle w:val="Heading1"/>
        <w:rPr>
          <w:rFonts w:hint="eastAsia"/>
        </w:rPr>
      </w:pPr>
      <w:r>
        <w:rPr>
          <w:rFonts w:hint="eastAsia"/>
        </w:rPr>
        <w:t>不予受理</w:t>
      </w:r>
      <w:r>
        <w:rPr>
          <w:rFonts w:hint="eastAsia"/>
        </w:rPr>
        <w:t>/</w:t>
      </w:r>
      <w:r>
        <w:rPr>
          <w:rFonts w:hint="eastAsia"/>
        </w:rPr>
        <w:t>驳回起诉</w:t>
      </w:r>
      <w:r>
        <w:rPr>
          <w:rFonts w:hint="eastAsia"/>
        </w:rPr>
        <w:t>/</w:t>
      </w:r>
      <w:r>
        <w:rPr>
          <w:rFonts w:hint="eastAsia"/>
        </w:rPr>
        <w:t>驳回诉讼请</w:t>
      </w:r>
    </w:p>
    <w:tbl>
      <w:tblPr>
        <w:tblStyle w:val="TableGrid"/>
        <w:tblW w:w="9350" w:type="dxa"/>
        <w:tblInd w:w="-113" w:type="dxa"/>
        <w:tblLook w:val="04A0" w:firstRow="1" w:lastRow="0" w:firstColumn="1" w:lastColumn="0" w:noHBand="0" w:noVBand="1"/>
      </w:tblPr>
      <w:tblGrid>
        <w:gridCol w:w="1526"/>
        <w:gridCol w:w="2278"/>
        <w:gridCol w:w="2601"/>
        <w:gridCol w:w="2945"/>
      </w:tblGrid>
      <w:tr w:rsidR="005B2893" w:rsidRPr="005B2893" w14:paraId="4AE90212" w14:textId="77777777" w:rsidTr="005B2893">
        <w:tc>
          <w:tcPr>
            <w:tcW w:w="1526" w:type="dxa"/>
            <w:hideMark/>
          </w:tcPr>
          <w:p w14:paraId="4226F288" w14:textId="77777777" w:rsidR="005B2893" w:rsidRPr="005B2893" w:rsidRDefault="005B2893" w:rsidP="005B2893">
            <w:pPr>
              <w:jc w:val="center"/>
              <w:rPr>
                <w:rFonts w:ascii="Times New Roman" w:eastAsia="Times New Roman" w:hAnsi="Times New Roman" w:cs="Times New Roman"/>
                <w:b/>
                <w:bCs/>
                <w:kern w:val="0"/>
                <w14:ligatures w14:val="none"/>
              </w:rPr>
            </w:pPr>
            <w:r w:rsidRPr="005B2893">
              <w:rPr>
                <w:rFonts w:ascii="SimSun" w:eastAsia="SimSun" w:hAnsi="SimSun" w:cs="SimSun" w:hint="eastAsia"/>
                <w:b/>
                <w:bCs/>
                <w:kern w:val="0"/>
                <w14:ligatures w14:val="none"/>
              </w:rPr>
              <w:t>维</w:t>
            </w:r>
            <w:r w:rsidRPr="005B2893">
              <w:rPr>
                <w:rFonts w:ascii="SimSun" w:eastAsia="SimSun" w:hAnsi="SimSun" w:cs="SimSun"/>
                <w:b/>
                <w:bCs/>
                <w:kern w:val="0"/>
                <w14:ligatures w14:val="none"/>
              </w:rPr>
              <w:t>度</w:t>
            </w:r>
          </w:p>
        </w:tc>
        <w:tc>
          <w:tcPr>
            <w:tcW w:w="2020" w:type="dxa"/>
            <w:hideMark/>
          </w:tcPr>
          <w:p w14:paraId="6B3320E6" w14:textId="77777777" w:rsidR="005B2893" w:rsidRPr="005B2893" w:rsidRDefault="005B2893" w:rsidP="005B2893">
            <w:pPr>
              <w:jc w:val="center"/>
              <w:rPr>
                <w:rFonts w:ascii="Times New Roman" w:eastAsia="Times New Roman" w:hAnsi="Times New Roman" w:cs="Times New Roman"/>
                <w:b/>
                <w:bCs/>
                <w:kern w:val="0"/>
                <w14:ligatures w14:val="none"/>
              </w:rPr>
            </w:pPr>
            <w:r w:rsidRPr="005B2893">
              <w:rPr>
                <w:rFonts w:ascii="SimSun" w:eastAsia="SimSun" w:hAnsi="SimSun" w:cs="SimSun"/>
                <w:b/>
                <w:bCs/>
                <w:kern w:val="0"/>
                <w14:ligatures w14:val="none"/>
              </w:rPr>
              <w:t>不予受理</w:t>
            </w:r>
          </w:p>
        </w:tc>
        <w:tc>
          <w:tcPr>
            <w:tcW w:w="0" w:type="auto"/>
            <w:hideMark/>
          </w:tcPr>
          <w:p w14:paraId="2381FB10" w14:textId="77777777" w:rsidR="005B2893" w:rsidRPr="005B2893" w:rsidRDefault="005B2893" w:rsidP="005B2893">
            <w:pPr>
              <w:jc w:val="center"/>
              <w:rPr>
                <w:rFonts w:ascii="Times New Roman" w:eastAsia="Times New Roman" w:hAnsi="Times New Roman" w:cs="Times New Roman"/>
                <w:b/>
                <w:bCs/>
                <w:kern w:val="0"/>
                <w14:ligatures w14:val="none"/>
              </w:rPr>
            </w:pPr>
            <w:r w:rsidRPr="005B2893">
              <w:rPr>
                <w:rFonts w:ascii="SimSun" w:eastAsia="SimSun" w:hAnsi="SimSun" w:cs="SimSun"/>
                <w:b/>
                <w:bCs/>
                <w:kern w:val="0"/>
                <w14:ligatures w14:val="none"/>
              </w:rPr>
              <w:t>驳回起诉</w:t>
            </w:r>
          </w:p>
        </w:tc>
        <w:tc>
          <w:tcPr>
            <w:tcW w:w="0" w:type="auto"/>
            <w:hideMark/>
          </w:tcPr>
          <w:p w14:paraId="4C8950AE" w14:textId="77777777" w:rsidR="005B2893" w:rsidRPr="005B2893" w:rsidRDefault="005B2893" w:rsidP="005B2893">
            <w:pPr>
              <w:jc w:val="center"/>
              <w:rPr>
                <w:rFonts w:ascii="Times New Roman" w:eastAsia="Times New Roman" w:hAnsi="Times New Roman" w:cs="Times New Roman"/>
                <w:b/>
                <w:bCs/>
                <w:kern w:val="0"/>
                <w14:ligatures w14:val="none"/>
              </w:rPr>
            </w:pPr>
            <w:r w:rsidRPr="005B2893">
              <w:rPr>
                <w:rFonts w:ascii="SimSun" w:eastAsia="SimSun" w:hAnsi="SimSun" w:cs="SimSun"/>
                <w:b/>
                <w:bCs/>
                <w:kern w:val="0"/>
                <w14:ligatures w14:val="none"/>
              </w:rPr>
              <w:t>驳回诉讼请求</w:t>
            </w:r>
          </w:p>
        </w:tc>
      </w:tr>
      <w:tr w:rsidR="005B2893" w:rsidRPr="00083E87" w14:paraId="0F7D48C6" w14:textId="77777777" w:rsidTr="005B2893">
        <w:tc>
          <w:tcPr>
            <w:tcW w:w="1526" w:type="dxa"/>
            <w:hideMark/>
          </w:tcPr>
          <w:p w14:paraId="680144BA"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发生阶段</w:t>
            </w:r>
          </w:p>
        </w:tc>
        <w:tc>
          <w:tcPr>
            <w:tcW w:w="2020" w:type="dxa"/>
            <w:hideMark/>
          </w:tcPr>
          <w:p w14:paraId="13B68BC2"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立案前（门口）</w:t>
            </w:r>
          </w:p>
        </w:tc>
        <w:tc>
          <w:tcPr>
            <w:tcW w:w="0" w:type="auto"/>
            <w:hideMark/>
          </w:tcPr>
          <w:p w14:paraId="5D1C5270"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立案后发现不符合起诉条件或属§127情形（解释§208 III）</w:t>
            </w:r>
          </w:p>
        </w:tc>
        <w:tc>
          <w:tcPr>
            <w:tcW w:w="0" w:type="auto"/>
            <w:hideMark/>
          </w:tcPr>
          <w:p w14:paraId="22937F09"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实体审理后（请求不成立，如时效抗辩成立，解释§219）</w:t>
            </w:r>
          </w:p>
        </w:tc>
      </w:tr>
      <w:tr w:rsidR="005B2893" w:rsidRPr="00083E87" w14:paraId="0B8EB795" w14:textId="77777777" w:rsidTr="005B2893">
        <w:trPr>
          <w:trHeight w:val="1012"/>
        </w:trPr>
        <w:tc>
          <w:tcPr>
            <w:tcW w:w="1526" w:type="dxa"/>
            <w:hideMark/>
          </w:tcPr>
          <w:p w14:paraId="545D98DD"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解决的问题</w:t>
            </w:r>
          </w:p>
        </w:tc>
        <w:tc>
          <w:tcPr>
            <w:tcW w:w="2020" w:type="dxa"/>
            <w:hideMark/>
          </w:tcPr>
          <w:p w14:paraId="25BE3452"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程序：该不该收</w:t>
            </w:r>
          </w:p>
        </w:tc>
        <w:tc>
          <w:tcPr>
            <w:tcW w:w="0" w:type="auto"/>
            <w:hideMark/>
          </w:tcPr>
          <w:p w14:paraId="0CEA060F"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程序：该不该继续审</w:t>
            </w:r>
          </w:p>
        </w:tc>
        <w:tc>
          <w:tcPr>
            <w:tcW w:w="0" w:type="auto"/>
            <w:hideMark/>
          </w:tcPr>
          <w:p w14:paraId="08F71FE1"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实体：原告赢不赢</w:t>
            </w:r>
          </w:p>
        </w:tc>
      </w:tr>
      <w:tr w:rsidR="005B2893" w:rsidRPr="00083E87" w14:paraId="12B44D3B" w14:textId="77777777" w:rsidTr="005B2893">
        <w:tc>
          <w:tcPr>
            <w:tcW w:w="1526" w:type="dxa"/>
            <w:hideMark/>
          </w:tcPr>
          <w:p w14:paraId="7D25957C"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文书形式</w:t>
            </w:r>
          </w:p>
        </w:tc>
        <w:tc>
          <w:tcPr>
            <w:tcW w:w="2020" w:type="dxa"/>
            <w:hideMark/>
          </w:tcPr>
          <w:p w14:paraId="25E4A564"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裁定（§126）</w:t>
            </w:r>
          </w:p>
        </w:tc>
        <w:tc>
          <w:tcPr>
            <w:tcW w:w="0" w:type="auto"/>
            <w:hideMark/>
          </w:tcPr>
          <w:p w14:paraId="4FA9C405"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裁定（解释§208 III）</w:t>
            </w:r>
          </w:p>
        </w:tc>
        <w:tc>
          <w:tcPr>
            <w:tcW w:w="0" w:type="auto"/>
            <w:hideMark/>
          </w:tcPr>
          <w:p w14:paraId="3ED1D3BA"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判决（解释§219"判决驳回"）</w:t>
            </w:r>
          </w:p>
        </w:tc>
      </w:tr>
      <w:tr w:rsidR="005B2893" w:rsidRPr="00083E87" w14:paraId="6F416A29" w14:textId="77777777" w:rsidTr="005B2893">
        <w:tc>
          <w:tcPr>
            <w:tcW w:w="1526" w:type="dxa"/>
            <w:hideMark/>
          </w:tcPr>
          <w:p w14:paraId="2A038EED"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能否上诉</w:t>
            </w:r>
          </w:p>
        </w:tc>
        <w:tc>
          <w:tcPr>
            <w:tcW w:w="2020" w:type="dxa"/>
            <w:hideMark/>
          </w:tcPr>
          <w:p w14:paraId="658EE04E"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能（§126/§157(一)）</w:t>
            </w:r>
          </w:p>
        </w:tc>
        <w:tc>
          <w:tcPr>
            <w:tcW w:w="0" w:type="auto"/>
            <w:hideMark/>
          </w:tcPr>
          <w:p w14:paraId="353FF1BE"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能（§157(三)）</w:t>
            </w:r>
          </w:p>
        </w:tc>
        <w:tc>
          <w:tcPr>
            <w:tcW w:w="0" w:type="auto"/>
            <w:hideMark/>
          </w:tcPr>
          <w:p w14:paraId="7129E4F4"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能（按判决上诉，非"可上诉三裁定"）</w:t>
            </w:r>
          </w:p>
        </w:tc>
      </w:tr>
      <w:tr w:rsidR="005B2893" w:rsidRPr="00083E87" w14:paraId="5D6DE689" w14:textId="77777777" w:rsidTr="005B2893">
        <w:tc>
          <w:tcPr>
            <w:tcW w:w="1526" w:type="dxa"/>
            <w:hideMark/>
          </w:tcPr>
          <w:p w14:paraId="3B929AF6"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再诉命运</w:t>
            </w:r>
          </w:p>
        </w:tc>
        <w:tc>
          <w:tcPr>
            <w:tcW w:w="2020" w:type="dxa"/>
            <w:hideMark/>
          </w:tcPr>
          <w:p w14:paraId="024F90C9"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补正后再诉应予受理（解释§212）</w:t>
            </w:r>
          </w:p>
        </w:tc>
        <w:tc>
          <w:tcPr>
            <w:tcW w:w="0" w:type="auto"/>
            <w:hideMark/>
          </w:tcPr>
          <w:p w14:paraId="41721216"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补正后再诉应予受理（解释§212）</w:t>
            </w:r>
          </w:p>
        </w:tc>
        <w:tc>
          <w:tcPr>
            <w:tcW w:w="0" w:type="auto"/>
            <w:hideMark/>
          </w:tcPr>
          <w:p w14:paraId="502CB022"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同一诉再诉=重复起诉（解释§247三同），裁定不予受理/驳回起诉</w:t>
            </w:r>
          </w:p>
        </w:tc>
      </w:tr>
      <w:tr w:rsidR="005B2893" w:rsidRPr="00083E87" w14:paraId="23AB8105" w14:textId="77777777" w:rsidTr="005B2893">
        <w:trPr>
          <w:trHeight w:val="37"/>
        </w:trPr>
        <w:tc>
          <w:tcPr>
            <w:tcW w:w="1526" w:type="dxa"/>
            <w:hideMark/>
          </w:tcPr>
          <w:p w14:paraId="5C31FBF8"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lastRenderedPageBreak/>
              <w:t>上级纠错</w:t>
            </w:r>
          </w:p>
        </w:tc>
        <w:tc>
          <w:tcPr>
            <w:tcW w:w="2020" w:type="dxa"/>
            <w:hideMark/>
          </w:tcPr>
          <w:p w14:paraId="049C5002"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二审查明错误→撤销+指令立案受理（解释§330）</w:t>
            </w:r>
          </w:p>
        </w:tc>
        <w:tc>
          <w:tcPr>
            <w:tcW w:w="0" w:type="auto"/>
            <w:hideMark/>
          </w:tcPr>
          <w:p w14:paraId="7BB61A50"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二审查明错误→撤销+指令审理（解释§330）</w:t>
            </w:r>
          </w:p>
        </w:tc>
        <w:tc>
          <w:tcPr>
            <w:tcW w:w="0" w:type="auto"/>
            <w:hideMark/>
          </w:tcPr>
          <w:p w14:paraId="141C7B1B" w14:textId="77777777" w:rsidR="005B2893" w:rsidRPr="00083E87" w:rsidRDefault="005B2893" w:rsidP="005B2893">
            <w:pPr>
              <w:rPr>
                <w:rFonts w:ascii="Microsoft YaHei UI" w:eastAsia="Microsoft YaHei UI" w:hAnsi="Microsoft YaHei UI"/>
              </w:rPr>
            </w:pPr>
            <w:r w:rsidRPr="00083E87">
              <w:rPr>
                <w:rFonts w:ascii="Microsoft YaHei UI" w:eastAsia="Microsoft YaHei UI" w:hAnsi="Microsoft YaHei UI"/>
              </w:rPr>
              <w:t>走二审改判/再审；再审中发现根本不符合起诉条件→撤销一、二审判决裁定驳回起诉（解释§406）</w:t>
            </w:r>
          </w:p>
        </w:tc>
      </w:tr>
    </w:tbl>
    <w:p w14:paraId="52EC953D" w14:textId="77777777" w:rsidR="005B2893" w:rsidRPr="002629B2" w:rsidRDefault="005B2893" w:rsidP="002629B2">
      <w:pPr>
        <w:rPr>
          <w:rFonts w:ascii="Microsoft YaHei UI" w:eastAsia="Microsoft YaHei UI" w:hAnsi="Microsoft YaHei UI" w:hint="eastAsia"/>
        </w:rPr>
      </w:pPr>
    </w:p>
    <w:p w14:paraId="621F3827" w14:textId="77777777" w:rsidR="002629B2" w:rsidRPr="00083E87" w:rsidRDefault="002629B2" w:rsidP="002629B2">
      <w:pPr>
        <w:rPr>
          <w:rFonts w:ascii="Microsoft YaHei UI" w:eastAsia="Microsoft YaHei UI" w:hAnsi="Microsoft YaHei UI" w:hint="eastAsia"/>
        </w:rPr>
      </w:pPr>
    </w:p>
    <w:tbl>
      <w:tblPr>
        <w:tblStyle w:val="TableGrid"/>
        <w:tblW w:w="0" w:type="auto"/>
        <w:tblLook w:val="04A0" w:firstRow="1" w:lastRow="0" w:firstColumn="1" w:lastColumn="0" w:noHBand="0" w:noVBand="1"/>
      </w:tblPr>
      <w:tblGrid>
        <w:gridCol w:w="2376"/>
        <w:gridCol w:w="5178"/>
        <w:gridCol w:w="1762"/>
      </w:tblGrid>
      <w:tr w:rsidR="00C06F0A" w:rsidRPr="00083E87" w14:paraId="78D9B736" w14:textId="77777777" w:rsidTr="00C06F0A">
        <w:tc>
          <w:tcPr>
            <w:tcW w:w="0" w:type="auto"/>
            <w:hideMark/>
          </w:tcPr>
          <w:p w14:paraId="432BD3D8" w14:textId="77777777" w:rsidR="00C06F0A" w:rsidRPr="00083E87" w:rsidRDefault="00C06F0A" w:rsidP="00C06F0A">
            <w:pPr>
              <w:jc w:val="center"/>
              <w:rPr>
                <w:rFonts w:ascii="Microsoft YaHei UI" w:eastAsia="Microsoft YaHei UI" w:hAnsi="Microsoft YaHei UI"/>
              </w:rPr>
            </w:pPr>
            <w:r w:rsidRPr="00083E87">
              <w:rPr>
                <w:rFonts w:ascii="Microsoft YaHei UI" w:eastAsia="Microsoft YaHei UI" w:hAnsi="Microsoft YaHei UI" w:hint="eastAsia"/>
              </w:rPr>
              <w:t>备庭动</w:t>
            </w:r>
            <w:r w:rsidRPr="00083E87">
              <w:rPr>
                <w:rFonts w:ascii="Microsoft YaHei UI" w:eastAsia="Microsoft YaHei UI" w:hAnsi="Microsoft YaHei UI"/>
              </w:rPr>
              <w:t>作</w:t>
            </w:r>
          </w:p>
        </w:tc>
        <w:tc>
          <w:tcPr>
            <w:tcW w:w="0" w:type="auto"/>
            <w:hideMark/>
          </w:tcPr>
          <w:p w14:paraId="036AE335" w14:textId="77777777" w:rsidR="00C06F0A" w:rsidRPr="00083E87" w:rsidRDefault="00C06F0A" w:rsidP="00C06F0A">
            <w:pPr>
              <w:jc w:val="center"/>
              <w:rPr>
                <w:rFonts w:ascii="Microsoft YaHei UI" w:eastAsia="Microsoft YaHei UI" w:hAnsi="Microsoft YaHei UI"/>
              </w:rPr>
            </w:pPr>
            <w:r w:rsidRPr="00083E87">
              <w:rPr>
                <w:rFonts w:ascii="Microsoft YaHei UI" w:eastAsia="Microsoft YaHei UI" w:hAnsi="Microsoft YaHei UI"/>
              </w:rPr>
              <w:t>期限/时点</w:t>
            </w:r>
          </w:p>
        </w:tc>
        <w:tc>
          <w:tcPr>
            <w:tcW w:w="0" w:type="auto"/>
            <w:hideMark/>
          </w:tcPr>
          <w:p w14:paraId="369B24A6" w14:textId="77777777" w:rsidR="00C06F0A" w:rsidRPr="00083E87" w:rsidRDefault="00C06F0A" w:rsidP="00C06F0A">
            <w:pPr>
              <w:jc w:val="center"/>
              <w:rPr>
                <w:rFonts w:ascii="Microsoft YaHei UI" w:eastAsia="Microsoft YaHei UI" w:hAnsi="Microsoft YaHei UI"/>
              </w:rPr>
            </w:pPr>
            <w:r w:rsidRPr="00083E87">
              <w:rPr>
                <w:rFonts w:ascii="Microsoft YaHei UI" w:eastAsia="Microsoft YaHei UI" w:hAnsi="Microsoft YaHei UI"/>
              </w:rPr>
              <w:t>条文</w:t>
            </w:r>
          </w:p>
        </w:tc>
      </w:tr>
      <w:tr w:rsidR="00C06F0A" w:rsidRPr="00083E87" w14:paraId="4EF50EFE" w14:textId="77777777" w:rsidTr="00C06F0A">
        <w:tc>
          <w:tcPr>
            <w:tcW w:w="0" w:type="auto"/>
            <w:hideMark/>
          </w:tcPr>
          <w:p w14:paraId="53569AB0"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送起诉状副本给被告</w:t>
            </w:r>
          </w:p>
        </w:tc>
        <w:tc>
          <w:tcPr>
            <w:tcW w:w="0" w:type="auto"/>
            <w:hideMark/>
          </w:tcPr>
          <w:p w14:paraId="3C792662"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立案之日起5日内</w:t>
            </w:r>
          </w:p>
        </w:tc>
        <w:tc>
          <w:tcPr>
            <w:tcW w:w="0" w:type="auto"/>
            <w:hideMark/>
          </w:tcPr>
          <w:p w14:paraId="0EC24C48"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§128</w:t>
            </w:r>
          </w:p>
        </w:tc>
      </w:tr>
      <w:tr w:rsidR="00C06F0A" w:rsidRPr="00083E87" w14:paraId="3BC6F38F" w14:textId="77777777" w:rsidTr="00C06F0A">
        <w:tc>
          <w:tcPr>
            <w:tcW w:w="0" w:type="auto"/>
            <w:hideMark/>
          </w:tcPr>
          <w:p w14:paraId="2A4CFFE4"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被告提出答辩状</w:t>
            </w:r>
          </w:p>
        </w:tc>
        <w:tc>
          <w:tcPr>
            <w:tcW w:w="0" w:type="auto"/>
            <w:hideMark/>
          </w:tcPr>
          <w:p w14:paraId="67018A98"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收到副本之日起15日内（不答辩不影响审理）</w:t>
            </w:r>
          </w:p>
        </w:tc>
        <w:tc>
          <w:tcPr>
            <w:tcW w:w="0" w:type="auto"/>
            <w:hideMark/>
          </w:tcPr>
          <w:p w14:paraId="412ECEF9"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§128</w:t>
            </w:r>
          </w:p>
        </w:tc>
      </w:tr>
      <w:tr w:rsidR="00C06F0A" w:rsidRPr="00083E87" w14:paraId="679B1C03" w14:textId="77777777" w:rsidTr="00C06F0A">
        <w:tc>
          <w:tcPr>
            <w:tcW w:w="0" w:type="auto"/>
            <w:hideMark/>
          </w:tcPr>
          <w:p w14:paraId="5A7A8B44"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答辩状副本送原告</w:t>
            </w:r>
          </w:p>
        </w:tc>
        <w:tc>
          <w:tcPr>
            <w:tcW w:w="0" w:type="auto"/>
            <w:hideMark/>
          </w:tcPr>
          <w:p w14:paraId="2A3D9322"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收到答辩状之日起5日内</w:t>
            </w:r>
          </w:p>
        </w:tc>
        <w:tc>
          <w:tcPr>
            <w:tcW w:w="0" w:type="auto"/>
            <w:hideMark/>
          </w:tcPr>
          <w:p w14:paraId="17425A9E"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§128</w:t>
            </w:r>
          </w:p>
        </w:tc>
      </w:tr>
      <w:tr w:rsidR="00C06F0A" w:rsidRPr="00083E87" w14:paraId="0F2D7A98" w14:textId="77777777" w:rsidTr="00C06F0A">
        <w:tc>
          <w:tcPr>
            <w:tcW w:w="0" w:type="auto"/>
            <w:hideMark/>
          </w:tcPr>
          <w:p w14:paraId="448E9D45"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告知审判人员</w:t>
            </w:r>
          </w:p>
        </w:tc>
        <w:tc>
          <w:tcPr>
            <w:tcW w:w="0" w:type="auto"/>
            <w:hideMark/>
          </w:tcPr>
          <w:p w14:paraId="2E343569"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确定后3日内</w:t>
            </w:r>
          </w:p>
        </w:tc>
        <w:tc>
          <w:tcPr>
            <w:tcW w:w="0" w:type="auto"/>
            <w:hideMark/>
          </w:tcPr>
          <w:p w14:paraId="23F1D2B7"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§131</w:t>
            </w:r>
          </w:p>
        </w:tc>
      </w:tr>
      <w:tr w:rsidR="00C06F0A" w:rsidRPr="00083E87" w14:paraId="3AA426A3" w14:textId="77777777" w:rsidTr="00C06F0A">
        <w:tc>
          <w:tcPr>
            <w:tcW w:w="0" w:type="auto"/>
            <w:hideMark/>
          </w:tcPr>
          <w:p w14:paraId="5EC4D0F7"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证据交换/庭前会议</w:t>
            </w:r>
          </w:p>
        </w:tc>
        <w:tc>
          <w:tcPr>
            <w:tcW w:w="0" w:type="auto"/>
            <w:hideMark/>
          </w:tcPr>
          <w:p w14:paraId="3F9172F7"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答辩期届满后</w:t>
            </w:r>
          </w:p>
        </w:tc>
        <w:tc>
          <w:tcPr>
            <w:tcW w:w="0" w:type="auto"/>
            <w:hideMark/>
          </w:tcPr>
          <w:p w14:paraId="49F44266" w14:textId="77777777" w:rsidR="00C06F0A" w:rsidRPr="00083E87" w:rsidRDefault="00C06F0A" w:rsidP="00C06F0A">
            <w:pPr>
              <w:rPr>
                <w:rFonts w:ascii="Microsoft YaHei UI" w:eastAsia="Microsoft YaHei UI" w:hAnsi="Microsoft YaHei UI"/>
              </w:rPr>
            </w:pPr>
            <w:r w:rsidRPr="00083E87">
              <w:rPr>
                <w:rFonts w:ascii="Microsoft YaHei UI" w:eastAsia="Microsoft YaHei UI" w:hAnsi="Microsoft YaHei UI"/>
              </w:rPr>
              <w:t>解释§224-225</w:t>
            </w:r>
          </w:p>
        </w:tc>
      </w:tr>
    </w:tbl>
    <w:p w14:paraId="731BE22C" w14:textId="77777777" w:rsidR="00083E87" w:rsidRDefault="00083E87" w:rsidP="00083E87">
      <w:pPr>
        <w:pStyle w:val="ListParagraph"/>
        <w:numPr>
          <w:ilvl w:val="0"/>
          <w:numId w:val="3"/>
        </w:numPr>
        <w:rPr>
          <w:rFonts w:ascii="Microsoft YaHei UI" w:eastAsia="Microsoft YaHei UI" w:hAnsi="Microsoft YaHei UI"/>
        </w:rPr>
      </w:pPr>
      <w:r>
        <w:rPr>
          <w:rFonts w:ascii="Microsoft YaHei UI" w:eastAsia="Microsoft YaHei UI" w:hAnsi="Microsoft YaHei UI" w:hint="eastAsia"/>
        </w:rPr>
        <w:t>证据交换/庭前会议</w:t>
      </w:r>
    </w:p>
    <w:p w14:paraId="4129DD0A" w14:textId="77777777" w:rsidR="00083E87" w:rsidRDefault="00083E87" w:rsidP="00083E87">
      <w:pPr>
        <w:pStyle w:val="ListParagraph"/>
        <w:numPr>
          <w:ilvl w:val="1"/>
          <w:numId w:val="3"/>
        </w:numPr>
        <w:rPr>
          <w:rFonts w:ascii="Microsoft YaHei UI" w:eastAsia="Microsoft YaHei UI" w:hAnsi="Microsoft YaHei UI"/>
        </w:rPr>
      </w:pPr>
      <w:r w:rsidRPr="00083E87">
        <w:rPr>
          <w:rFonts w:ascii="Microsoft YaHei UI" w:eastAsia="Microsoft YaHei UI" w:hAnsi="Microsoft YaHei UI" w:hint="eastAsia"/>
        </w:rPr>
        <w:t>证</w:t>
      </w:r>
      <w:r w:rsidRPr="00083E87">
        <w:rPr>
          <w:rFonts w:ascii="Microsoft YaHei UI" w:eastAsia="Microsoft YaHei UI" w:hAnsi="Microsoft YaHei UI"/>
        </w:rPr>
        <w:t>据交换仅用于双方互相披露、固定证据，证据交换当日举证期限届满；</w:t>
      </w:r>
    </w:p>
    <w:p w14:paraId="59A3BB38" w14:textId="0468BD11" w:rsidR="00083E87" w:rsidRPr="00083E87" w:rsidRDefault="00083E87" w:rsidP="00083E87">
      <w:pPr>
        <w:pStyle w:val="ListParagraph"/>
        <w:numPr>
          <w:ilvl w:val="1"/>
          <w:numId w:val="3"/>
        </w:numPr>
        <w:rPr>
          <w:rFonts w:ascii="Microsoft YaHei UI" w:eastAsia="Microsoft YaHei UI" w:hAnsi="Microsoft YaHei UI"/>
        </w:rPr>
      </w:pPr>
      <w:r w:rsidRPr="00083E87">
        <w:rPr>
          <w:rFonts w:ascii="Microsoft YaHei UI" w:eastAsia="Microsoft YaHei UI" w:hAnsi="Microsoft YaHei UI"/>
        </w:rPr>
        <w:t>庭前会议是综合性审前程序，可包含证据交换，还能固定诉辩意见、处理变更诉请与反诉、审批取证鉴定申请、归纳争议焦点、开展调解；证据交换、庭前会议均非案件必经程序，调解不成后，法院开庭三日前送达传票，启动正式开庭</w:t>
      </w:r>
      <w:r w:rsidRPr="00083E87">
        <w:rPr>
          <w:rFonts w:ascii="Microsoft YaHei UI" w:eastAsia="Microsoft YaHei UI" w:hAnsi="Microsoft YaHei UI" w:hint="eastAsia"/>
        </w:rPr>
        <w:t>。</w:t>
      </w:r>
    </w:p>
    <w:p w14:paraId="0ECA244B" w14:textId="24446552" w:rsidR="00C06F0A" w:rsidRDefault="00D356E7" w:rsidP="00D356E7">
      <w:pPr>
        <w:pStyle w:val="Heading1"/>
        <w:rPr>
          <w:rFonts w:hint="eastAsia"/>
        </w:rPr>
      </w:pPr>
      <w:r>
        <w:rPr>
          <w:rFonts w:hint="eastAsia"/>
        </w:rPr>
        <w:t>撤诉及缺席救济</w:t>
      </w:r>
    </w:p>
    <w:p w14:paraId="33261C63" w14:textId="77777777" w:rsidR="000971FA" w:rsidRDefault="00D356E7">
      <w:pPr>
        <w:rPr>
          <w:rFonts w:ascii="Microsoft YaHei UI" w:eastAsia="Microsoft YaHei UI" w:hAnsi="Microsoft YaHei UI"/>
        </w:rPr>
      </w:pPr>
      <w:r w:rsidRPr="00D356E7">
        <w:rPr>
          <w:rFonts w:ascii="Microsoft YaHei UI" w:eastAsia="Microsoft YaHei UI" w:hAnsi="Microsoft YaHei UI"/>
        </w:rPr>
        <w:t>撤诉分为原告主动申请撤诉与被动按撤诉处理；</w:t>
      </w:r>
    </w:p>
    <w:p w14:paraId="36196E7D" w14:textId="77777777" w:rsidR="000971FA" w:rsidRDefault="00D356E7" w:rsidP="000971FA">
      <w:pPr>
        <w:pStyle w:val="ListParagraph"/>
        <w:numPr>
          <w:ilvl w:val="0"/>
          <w:numId w:val="3"/>
        </w:numPr>
        <w:rPr>
          <w:rFonts w:ascii="Microsoft YaHei UI" w:eastAsia="Microsoft YaHei UI" w:hAnsi="Microsoft YaHei UI"/>
        </w:rPr>
      </w:pPr>
      <w:r w:rsidRPr="000971FA">
        <w:rPr>
          <w:rFonts w:ascii="Microsoft YaHei UI" w:eastAsia="Microsoft YaHei UI" w:hAnsi="Microsoft YaHei UI"/>
        </w:rPr>
        <w:t>原告申请撤诉应当在宣判前提出，由法院裁定准许；当事人存在违法情形需要处理，或者法庭辩论终结后被告不同意撤诉的，法院可裁定不准撤诉。撤诉仅终结本次诉讼，未经过实体审理，当事人以同一诉讼请求再次起诉法院应予受理，离婚案件无新情况、新理由六个月内再次起诉除外。</w:t>
      </w:r>
    </w:p>
    <w:p w14:paraId="65E96865" w14:textId="4D9707F7" w:rsidR="00804588" w:rsidRPr="000971FA" w:rsidRDefault="00D356E7" w:rsidP="000971FA">
      <w:pPr>
        <w:pStyle w:val="ListParagraph"/>
        <w:numPr>
          <w:ilvl w:val="0"/>
          <w:numId w:val="3"/>
        </w:numPr>
        <w:rPr>
          <w:rFonts w:ascii="Microsoft YaHei UI" w:eastAsia="Microsoft YaHei UI" w:hAnsi="Microsoft YaHei UI"/>
        </w:rPr>
      </w:pPr>
      <w:r w:rsidRPr="000971FA">
        <w:rPr>
          <w:rFonts w:ascii="Microsoft YaHei UI" w:eastAsia="Microsoft YaHei UI" w:hAnsi="Microsoft YaHei UI"/>
        </w:rPr>
        <w:t>原告经传票传唤无正当理由拒不到庭或中途退庭，原则按撤诉处理；被告提出反诉的，反诉部分可以缺席判决。被告无正当理由拒不到庭、中途退庭，法院可以缺席判决，法院仍应当结合证据全面审查案件事实，不可直接采信原告诉讼主张。负有</w:t>
      </w:r>
      <w:r w:rsidRPr="000971FA">
        <w:rPr>
          <w:rFonts w:ascii="Microsoft YaHei UI" w:eastAsia="Microsoft YaHei UI" w:hAnsi="Microsoft YaHei UI"/>
        </w:rPr>
        <w:lastRenderedPageBreak/>
        <w:t>赡养、抚育、扶养义务及不到庭无法查清案情的必须到庭被告，经两次传票传唤拒不到庭，法院可拘传。有独立请求权第三人不到庭，对其独立请求按撤诉处理；无独立请求权第三人拒不到庭，不影响案件审理。法院裁定不准撤诉后，原告无正当理由拒不到庭，法院可缺席判决；本诉原告撤诉，有独立请求权第三人可以作为原告继续诉讼；当事人不预交案件受理费，按撤诉处理</w:t>
      </w:r>
      <w:r w:rsidR="00C37D63" w:rsidRPr="000971FA">
        <w:rPr>
          <w:rFonts w:ascii="Microsoft YaHei UI" w:eastAsia="Microsoft YaHei UI" w:hAnsi="Microsoft YaHei UI" w:hint="eastAsia"/>
        </w:rPr>
        <w:t>.</w:t>
      </w:r>
    </w:p>
    <w:p w14:paraId="2204B82E" w14:textId="28689C8B" w:rsidR="00C37D63" w:rsidRDefault="00C37D63" w:rsidP="00C37D63">
      <w:pPr>
        <w:pStyle w:val="Heading1"/>
        <w:rPr>
          <w:rFonts w:hint="eastAsia"/>
        </w:rPr>
      </w:pPr>
      <w:r>
        <w:rPr>
          <w:rFonts w:hint="eastAsia"/>
        </w:rPr>
        <w:t>延期审理、终止、中止</w:t>
      </w:r>
    </w:p>
    <w:p w14:paraId="6B0EDE3F" w14:textId="0A8099D3" w:rsidR="00C37D63" w:rsidRDefault="00C37D63" w:rsidP="00C37D63">
      <w:pPr>
        <w:rPr>
          <w:rFonts w:ascii="Microsoft YaHei UI" w:eastAsia="Microsoft YaHei UI" w:hAnsi="Microsoft YaHei UI" w:hint="eastAsia"/>
        </w:rPr>
      </w:pPr>
      <w:r w:rsidRPr="00C37D63">
        <w:rPr>
          <w:rFonts w:ascii="Microsoft YaHei UI" w:eastAsia="Microsoft YaHei UI" w:hAnsi="Microsoft YaHei UI" w:hint="eastAsia"/>
        </w:rPr>
        <w:t>诉讼进程受阻分为延期审理、中止诉讼、终结诉讼三类</w:t>
      </w:r>
      <w:r>
        <w:rPr>
          <w:rFonts w:ascii="Microsoft YaHei UI" w:eastAsia="Microsoft YaHei UI" w:hAnsi="Microsoft YaHei UI" w:hint="eastAsia"/>
        </w:rPr>
        <w:t xml:space="preserve">: </w:t>
      </w:r>
    </w:p>
    <w:p w14:paraId="553DB354" w14:textId="77777777" w:rsidR="00C37D63" w:rsidRDefault="00C37D63" w:rsidP="00C37D63">
      <w:pPr>
        <w:pStyle w:val="ListParagraph"/>
        <w:numPr>
          <w:ilvl w:val="0"/>
          <w:numId w:val="3"/>
        </w:numPr>
        <w:rPr>
          <w:rFonts w:ascii="Microsoft YaHei UI" w:eastAsia="Microsoft YaHei UI" w:hAnsi="Microsoft YaHei UI"/>
        </w:rPr>
      </w:pPr>
      <w:r w:rsidRPr="00C37D63">
        <w:rPr>
          <w:rFonts w:ascii="Microsoft YaHei UI" w:eastAsia="Microsoft YaHei UI" w:hAnsi="Microsoft YaHei UI" w:hint="eastAsia"/>
        </w:rPr>
        <w:t>延期审理仅本次庭审无法进行，程序继续推进，适用情形：必须到庭主体有正当理由未到庭；当事人临时提出回避申请；需要通知新证人、调取新证据、重新鉴定勘验或补充调查。</w:t>
      </w:r>
    </w:p>
    <w:p w14:paraId="4031FF82" w14:textId="77777777" w:rsidR="00C37D63" w:rsidRDefault="00C37D63" w:rsidP="00C37D63">
      <w:pPr>
        <w:pStyle w:val="ListParagraph"/>
        <w:numPr>
          <w:ilvl w:val="0"/>
          <w:numId w:val="3"/>
        </w:numPr>
        <w:rPr>
          <w:rFonts w:ascii="Microsoft YaHei UI" w:eastAsia="Microsoft YaHei UI" w:hAnsi="Microsoft YaHei UI"/>
        </w:rPr>
      </w:pPr>
      <w:r w:rsidRPr="00C37D63">
        <w:rPr>
          <w:rFonts w:ascii="Microsoft YaHei UI" w:eastAsia="Microsoft YaHei UI" w:hAnsi="Microsoft YaHei UI" w:hint="eastAsia"/>
        </w:rPr>
        <w:t>中止诉讼是整体程序暂停，障碍消除后恢复审理，适用情形：一方当事人死亡需等待继承人表态；当事人丧失诉讼行为能力未确定法定代理人；法人终止未确定权利义务承受人；当事人因不可抗拒事由无法参诉；本案须以另一案结果为依据而另一案未审结。</w:t>
      </w:r>
    </w:p>
    <w:p w14:paraId="2B20F616" w14:textId="78F32009" w:rsidR="00C37D63" w:rsidRDefault="00C37D63" w:rsidP="00C37D63">
      <w:pPr>
        <w:pStyle w:val="ListParagraph"/>
        <w:numPr>
          <w:ilvl w:val="0"/>
          <w:numId w:val="3"/>
        </w:numPr>
        <w:rPr>
          <w:rFonts w:ascii="Microsoft YaHei UI" w:eastAsia="Microsoft YaHei UI" w:hAnsi="Microsoft YaHei UI"/>
        </w:rPr>
      </w:pPr>
      <w:r w:rsidRPr="00C37D63">
        <w:rPr>
          <w:rFonts w:ascii="Microsoft YaHei UI" w:eastAsia="Microsoft YaHei UI" w:hAnsi="Microsoft YaHei UI" w:hint="eastAsia"/>
        </w:rPr>
        <w:t>终结诉讼意味着程序永久终止，不再恢复，四类情形均涉及当事人死亡：原告死亡无继承人或继承人放弃权利；被告死亡无遗产且无义务承担人；离婚案件、追索赡养 / 抚育 / 抚养费、解除收养关系案件一方当事人死亡。一方当事人死亡区分处理：等待继承人参加诉讼为中止；无继承人或继承人放弃权利为终结；人身专属案件直接终结。</w:t>
      </w:r>
    </w:p>
    <w:p w14:paraId="50248B28" w14:textId="6D6DAC7D" w:rsidR="00C37D63" w:rsidRPr="00C37D63" w:rsidRDefault="00C37D63" w:rsidP="00C37D63">
      <w:pPr>
        <w:rPr>
          <w:rFonts w:ascii="Microsoft YaHei UI" w:eastAsia="Microsoft YaHei UI" w:hAnsi="Microsoft YaHei UI" w:hint="eastAsia"/>
        </w:rPr>
      </w:pPr>
      <w:r w:rsidRPr="00C37D63">
        <w:rPr>
          <w:rFonts w:ascii="Microsoft YaHei UI" w:eastAsia="Microsoft YaHei UI" w:hAnsi="Microsoft YaHei UI" w:hint="eastAsia"/>
        </w:rPr>
        <w:t>延期审理适用决定；中止诉讼、终结诉讼适用裁定，且该两类裁定不得上诉</w:t>
      </w:r>
      <w:r w:rsidR="00E67139">
        <w:rPr>
          <w:rFonts w:ascii="Microsoft YaHei UI" w:eastAsia="Microsoft YaHei UI" w:hAnsi="Microsoft YaHei UI" w:hint="eastAsia"/>
        </w:rPr>
        <w:t>.</w:t>
      </w:r>
    </w:p>
    <w:p w14:paraId="4FC1D64F" w14:textId="77777777" w:rsidR="00E67139" w:rsidRDefault="00C37D63" w:rsidP="00C37D63">
      <w:pPr>
        <w:rPr>
          <w:rFonts w:ascii="Microsoft YaHei UI" w:eastAsia="Microsoft YaHei UI" w:hAnsi="Microsoft YaHei UI"/>
        </w:rPr>
      </w:pPr>
      <w:r w:rsidRPr="00C37D63">
        <w:rPr>
          <w:rFonts w:ascii="Microsoft YaHei UI" w:eastAsia="Microsoft YaHei UI" w:hAnsi="Microsoft YaHei UI" w:hint="eastAsia"/>
        </w:rPr>
        <w:t>一方死亡三分流（财产类案件）：</w:t>
      </w:r>
    </w:p>
    <w:p w14:paraId="1168D813" w14:textId="0ECC5411" w:rsidR="00804588" w:rsidRDefault="00C37D63" w:rsidP="00C37D63">
      <w:pPr>
        <w:rPr>
          <w:rFonts w:ascii="Microsoft YaHei UI" w:eastAsia="Microsoft YaHei UI" w:hAnsi="Microsoft YaHei UI"/>
        </w:rPr>
      </w:pPr>
      <w:r w:rsidRPr="00C37D63">
        <w:rPr>
          <w:rFonts w:ascii="Microsoft YaHei UI" w:eastAsia="Microsoft YaHei UI" w:hAnsi="Microsoft YaHei UI" w:hint="eastAsia"/>
        </w:rPr>
        <w:t>等待继承人表态→中止；原告死亡无继承人 / 继承人放弃诉讼权利→终结；被告死亡, 如果是同时无遗产、无义务承担人才会终结;  若继承人不放弃继承、愿意参加诉讼 → 变更继承人为被告，恢复审理； 如果继承人全部放弃继承，只要被告留有遗产，会由遗产管</w:t>
      </w:r>
      <w:r w:rsidRPr="00C37D63">
        <w:rPr>
          <w:rFonts w:ascii="Microsoft YaHei UI" w:eastAsia="Microsoft YaHei UI" w:hAnsi="Microsoft YaHei UI" w:hint="eastAsia"/>
        </w:rPr>
        <w:lastRenderedPageBreak/>
        <w:t>理人应诉，诉讼继续，不能终结。离婚案、赡扶抚、解除收养等人身专属案件，一方死亡直接终结。中止、终结适用裁定，不得上诉。</w:t>
      </w:r>
    </w:p>
    <w:p w14:paraId="626C129B" w14:textId="6A83B701" w:rsidR="00C37D63" w:rsidRPr="00C37D63" w:rsidRDefault="005A65A0" w:rsidP="005A65A0">
      <w:pPr>
        <w:pStyle w:val="Heading1"/>
        <w:rPr>
          <w:rFonts w:cstheme="minorBidi" w:hint="eastAsia"/>
        </w:rPr>
      </w:pPr>
      <w:r>
        <w:rPr>
          <w:rFonts w:hint="eastAsia"/>
        </w:rPr>
        <w:t>简易</w:t>
      </w:r>
    </w:p>
    <w:p w14:paraId="181B7E65" w14:textId="65ED2166" w:rsidR="00804588" w:rsidRDefault="005A65A0">
      <w:pPr>
        <w:rPr>
          <w:rFonts w:ascii="Microsoft YaHei UI" w:eastAsia="Microsoft YaHei UI" w:hAnsi="Microsoft YaHei UI"/>
        </w:rPr>
      </w:pPr>
      <w:r w:rsidRPr="005A65A0">
        <w:rPr>
          <w:rFonts w:ascii="Microsoft YaHei UI" w:eastAsia="Microsoft YaHei UI" w:hAnsi="Microsoft YaHei UI"/>
        </w:rPr>
        <w:t>简易程序仅适用于**基层法院及其派出法庭一审案件**，中院及以上法院不得适用；适用情形分为法定适用与约定适用：法定适用需同时满足事实清楚、权利义务关系明确、争议不大；不属于简单案件的，双方当事人可于**开庭前约定适用简易程序**，但案件落入民诉解释第 257 条七类禁止清单，即便当事人合意，法院也不予准许。简易程序审理规则可依法简化：允许口头起诉，双方同时到庭可当即审理；可采用电话等简便方式传唤、送达、审理；审判员独任审理，不受普通程序开庭通知、法庭调查、辩论顺序限制；审限 3 个月，特殊情况经本院院长批准延长 1 个月，累计最长不超 4 个月。程序转换具有单向性：审理中发现不宜适用简易程序，**裁定转为普通程序**，审限自立案之日重新计算；案件已经按照普通程序开庭审理后，**不得转为简易程序**；当事人对适用简易程序提出异议，法院审查后异议成立裁定转普，异议不成立裁定驳回。重要易错要点：简便方式传唤不等于可以直接缺席判决，未经传票传唤、无证据证明当事人收到开庭通知，不得作出缺席判决，否则当事人可据此申请再审。</w:t>
      </w:r>
    </w:p>
    <w:p w14:paraId="42B35D4C" w14:textId="64F6A01B" w:rsidR="005A65A0" w:rsidRDefault="005A65A0" w:rsidP="005A65A0">
      <w:pPr>
        <w:pStyle w:val="Heading1"/>
      </w:pPr>
      <w:r>
        <w:rPr>
          <w:rFonts w:hint="eastAsia"/>
        </w:rPr>
        <w:t>小额</w:t>
      </w:r>
    </w:p>
    <w:p w14:paraId="39887AAD" w14:textId="73A3B19D" w:rsidR="005A65A0" w:rsidRDefault="005A65A0">
      <w:pPr>
        <w:rPr>
          <w:rFonts w:ascii="Microsoft YaHei UI" w:eastAsia="Microsoft YaHei UI" w:hAnsi="Microsoft YaHei UI"/>
        </w:rPr>
      </w:pPr>
      <w:r w:rsidRPr="005A65A0">
        <w:rPr>
          <w:rFonts w:ascii="Microsoft YaHei UI" w:eastAsia="Microsoft YaHei UI" w:hAnsi="Microsoft YaHei UI"/>
        </w:rPr>
        <w:t>小额诉讼属于简易程序中的特殊程序，仅适用于基层法院及其派出法庭审理**事实清楚、权利义务明确、争议不大的简单金钱给付案件**，适用标准采取两档规则：标的额低于本省上年度就业人员年平均工资 50%**应当适用**；标的额超过 50% 且在 2 倍以内，**双方当事人约定方可适用**；超出 2 倍不得适用小额诉讼。人身关系、财产确权、涉外、需评估鉴定、一方下落不明、当事人提出反诉六类案件禁止适用小额诉讼。小额诉讼实行**一审终审，不得上诉**；管辖异议裁定一经作出立即生效，不允许上诉；当事人对适用小额诉讼程序有异议，应当在开庭前提出。审理中因诉请变更、追加当事人、反诉等情形不再符合小额条件，转为简易程序审理，确有必要可裁定转为普通程序，转换前双方确认事实无需重新举证质证。小额诉讼可一次开庭、当庭宣判；审限 2 个月，院长批准可延</w:t>
      </w:r>
      <w:r w:rsidRPr="005A65A0">
        <w:rPr>
          <w:rFonts w:ascii="Microsoft YaHei UI" w:eastAsia="Microsoft YaHei UI" w:hAnsi="Microsoft YaHei UI"/>
        </w:rPr>
        <w:lastRenderedPageBreak/>
        <w:t>长 1 个月；举证期限一般不超过 7 日；受理案件时法院应当告知当事人一审终审相关事项，裁判文书允许简化。小额诉讼本身**一审终审，没有上诉通道**, 生效裁判救济依靠再审，并且小额诉讼再审统一由**原审基层法院另行组成合议庭审理**，不受上面通用再审规则约束,  再审后的上诉救济, 区分两条路径：以民事诉讼法第 207 条常规再审事由申请再审，再审裁判仍不得上诉；以不应适用小额诉讼为由申请再审，再审裁判可以上诉；法律无特别规定时，小额诉讼适用简易程序相关规则。</w:t>
      </w:r>
    </w:p>
    <w:p w14:paraId="6CDED442" w14:textId="3ED32E16" w:rsidR="005A65A0" w:rsidRDefault="005A65A0" w:rsidP="005A65A0">
      <w:pPr>
        <w:pStyle w:val="Heading1"/>
      </w:pPr>
      <w:r>
        <w:rPr>
          <w:rFonts w:hint="eastAsia"/>
        </w:rPr>
        <w:t>普通</w:t>
      </w:r>
      <w:r>
        <w:rPr>
          <w:rFonts w:hint="eastAsia"/>
        </w:rPr>
        <w:t xml:space="preserve"> </w:t>
      </w:r>
      <w:r>
        <w:rPr>
          <w:rFonts w:hint="eastAsia"/>
        </w:rPr>
        <w:t>独任</w:t>
      </w:r>
      <w:r>
        <w:rPr>
          <w:rFonts w:hint="eastAsia"/>
        </w:rPr>
        <w:t>/</w:t>
      </w:r>
      <w:r>
        <w:rPr>
          <w:rFonts w:hint="eastAsia"/>
        </w:rPr>
        <w:t>合议庭</w:t>
      </w:r>
    </w:p>
    <w:p w14:paraId="0025705D" w14:textId="1DD8D01E" w:rsidR="005A65A0" w:rsidRDefault="005A65A0">
      <w:pPr>
        <w:rPr>
          <w:rFonts w:ascii="Microsoft YaHei UI" w:eastAsia="Microsoft YaHei UI" w:hAnsi="Microsoft YaHei UI" w:hint="eastAsia"/>
        </w:rPr>
      </w:pPr>
      <w:r w:rsidRPr="005A65A0">
        <w:rPr>
          <w:rFonts w:ascii="Microsoft YaHei UI" w:eastAsia="Microsoft YaHei UI" w:hAnsi="Microsoft YaHei UI"/>
        </w:rPr>
        <w:t>基层法院一审民事案件，满足**基本事实清楚、权利义务关系明确**，可由审判员一人适用普通程序独任审理；该条件不要求 “争议不大”，**无需当事人同意**。存在六类情形不得独任、必须合议：涉及国家利益与社会公共利益；群体性纠纷且可能影响稳定；群众广泛关注、社会影响较大；新类型或疑难复杂案件；法律明确应当组成合议庭；其他不宜独任情形。审理过程中发现案件不适宜独任的，**应当裁定转为合议庭审理**；当事人可对独任审理提出异议，异议成立裁定转合议，不成立裁定驳回。二审独任仅限中院审理一审简易审结案件、不服裁定上诉案件，事实清楚、权利义务明确的，**必须经过双方当事人同意**方可独任；一审简易独任、一审普通程序独任均不需要当事人同意。</w:t>
      </w:r>
    </w:p>
    <w:p w14:paraId="5ED6E8B1" w14:textId="22F78376" w:rsidR="00804588" w:rsidRDefault="00804588" w:rsidP="00804588">
      <w:pPr>
        <w:pStyle w:val="Heading1"/>
      </w:pPr>
      <w:r>
        <w:rPr>
          <w:rFonts w:hint="eastAsia"/>
        </w:rPr>
        <w:t>简易程序</w:t>
      </w:r>
      <w:r>
        <w:rPr>
          <w:rFonts w:hint="eastAsia"/>
        </w:rPr>
        <w:t>/</w:t>
      </w:r>
      <w:r>
        <w:rPr>
          <w:rFonts w:hint="eastAsia"/>
        </w:rPr>
        <w:t>小额诉讼</w:t>
      </w:r>
      <w:r>
        <w:rPr>
          <w:rFonts w:hint="eastAsia"/>
        </w:rPr>
        <w:t>/</w:t>
      </w:r>
      <w:r>
        <w:rPr>
          <w:rFonts w:hint="eastAsia"/>
        </w:rPr>
        <w:t>普通程序</w:t>
      </w:r>
    </w:p>
    <w:tbl>
      <w:tblPr>
        <w:tblStyle w:val="TableGrid"/>
        <w:tblW w:w="0" w:type="auto"/>
        <w:tblLook w:val="04A0" w:firstRow="1" w:lastRow="0" w:firstColumn="1" w:lastColumn="0" w:noHBand="0" w:noVBand="1"/>
      </w:tblPr>
      <w:tblGrid>
        <w:gridCol w:w="812"/>
        <w:gridCol w:w="3149"/>
        <w:gridCol w:w="2845"/>
        <w:gridCol w:w="2544"/>
      </w:tblGrid>
      <w:tr w:rsidR="00804588" w:rsidRPr="00804588" w14:paraId="456C29DD" w14:textId="77777777" w:rsidTr="00804588">
        <w:tc>
          <w:tcPr>
            <w:tcW w:w="0" w:type="auto"/>
            <w:hideMark/>
          </w:tcPr>
          <w:p w14:paraId="2DC7548D" w14:textId="77777777" w:rsidR="00804588" w:rsidRPr="00804588" w:rsidRDefault="00804588" w:rsidP="00804588">
            <w:pPr>
              <w:jc w:val="center"/>
              <w:rPr>
                <w:rFonts w:ascii="Microsoft YaHei UI" w:eastAsia="Microsoft YaHei UI" w:hAnsi="Microsoft YaHei UI" w:cs="Times New Roman"/>
                <w:b/>
                <w:bCs/>
                <w:kern w:val="0"/>
                <w14:ligatures w14:val="none"/>
              </w:rPr>
            </w:pPr>
            <w:r w:rsidRPr="00804588">
              <w:rPr>
                <w:rFonts w:ascii="Microsoft YaHei UI" w:eastAsia="Microsoft YaHei UI" w:hAnsi="Microsoft YaHei UI" w:cs="SimSun" w:hint="eastAsia"/>
                <w:b/>
                <w:bCs/>
                <w:kern w:val="0"/>
                <w14:ligatures w14:val="none"/>
              </w:rPr>
              <w:t>事</w:t>
            </w:r>
            <w:r w:rsidRPr="00804588">
              <w:rPr>
                <w:rFonts w:ascii="Microsoft YaHei UI" w:eastAsia="Microsoft YaHei UI" w:hAnsi="Microsoft YaHei UI" w:cs="SimSun"/>
                <w:b/>
                <w:bCs/>
                <w:kern w:val="0"/>
                <w14:ligatures w14:val="none"/>
              </w:rPr>
              <w:t>项</w:t>
            </w:r>
          </w:p>
        </w:tc>
        <w:tc>
          <w:tcPr>
            <w:tcW w:w="0" w:type="auto"/>
            <w:hideMark/>
          </w:tcPr>
          <w:p w14:paraId="53036297" w14:textId="77777777" w:rsidR="00804588" w:rsidRPr="00804588" w:rsidRDefault="00804588" w:rsidP="00804588">
            <w:pPr>
              <w:jc w:val="center"/>
              <w:rPr>
                <w:rFonts w:ascii="Microsoft YaHei UI" w:eastAsia="Microsoft YaHei UI" w:hAnsi="Microsoft YaHei UI" w:cs="Times New Roman"/>
                <w:b/>
                <w:bCs/>
                <w:kern w:val="0"/>
                <w14:ligatures w14:val="none"/>
              </w:rPr>
            </w:pPr>
            <w:r w:rsidRPr="00804588">
              <w:rPr>
                <w:rFonts w:ascii="Microsoft YaHei UI" w:eastAsia="Microsoft YaHei UI" w:hAnsi="Microsoft YaHei UI" w:cs="SimSun"/>
                <w:b/>
                <w:bCs/>
                <w:kern w:val="0"/>
                <w14:ligatures w14:val="none"/>
              </w:rPr>
              <w:t>简易程序</w:t>
            </w:r>
          </w:p>
        </w:tc>
        <w:tc>
          <w:tcPr>
            <w:tcW w:w="0" w:type="auto"/>
            <w:hideMark/>
          </w:tcPr>
          <w:p w14:paraId="43EA0BA1" w14:textId="77777777" w:rsidR="00804588" w:rsidRPr="00804588" w:rsidRDefault="00804588" w:rsidP="00804588">
            <w:pPr>
              <w:jc w:val="center"/>
              <w:rPr>
                <w:rFonts w:ascii="Microsoft YaHei UI" w:eastAsia="Microsoft YaHei UI" w:hAnsi="Microsoft YaHei UI" w:cs="Times New Roman"/>
                <w:b/>
                <w:bCs/>
                <w:kern w:val="0"/>
                <w14:ligatures w14:val="none"/>
              </w:rPr>
            </w:pPr>
            <w:r w:rsidRPr="00804588">
              <w:rPr>
                <w:rFonts w:ascii="Microsoft YaHei UI" w:eastAsia="Microsoft YaHei UI" w:hAnsi="Microsoft YaHei UI" w:cs="SimSun"/>
                <w:b/>
                <w:bCs/>
                <w:kern w:val="0"/>
                <w14:ligatures w14:val="none"/>
              </w:rPr>
              <w:t>小额诉讼</w:t>
            </w:r>
          </w:p>
        </w:tc>
        <w:tc>
          <w:tcPr>
            <w:tcW w:w="0" w:type="auto"/>
            <w:hideMark/>
          </w:tcPr>
          <w:p w14:paraId="04CCF1FD" w14:textId="77777777" w:rsidR="00804588" w:rsidRPr="00804588" w:rsidRDefault="00804588" w:rsidP="00804588">
            <w:pPr>
              <w:jc w:val="center"/>
              <w:rPr>
                <w:rFonts w:ascii="Microsoft YaHei UI" w:eastAsia="Microsoft YaHei UI" w:hAnsi="Microsoft YaHei UI" w:cs="Times New Roman"/>
                <w:b/>
                <w:bCs/>
                <w:kern w:val="0"/>
                <w14:ligatures w14:val="none"/>
              </w:rPr>
            </w:pPr>
            <w:r w:rsidRPr="00804588">
              <w:rPr>
                <w:rFonts w:ascii="Microsoft YaHei UI" w:eastAsia="Microsoft YaHei UI" w:hAnsi="Microsoft YaHei UI" w:cs="SimSun"/>
                <w:b/>
                <w:bCs/>
                <w:kern w:val="0"/>
                <w14:ligatures w14:val="none"/>
              </w:rPr>
              <w:t>普通程序独任</w:t>
            </w:r>
          </w:p>
        </w:tc>
      </w:tr>
      <w:tr w:rsidR="00804588" w:rsidRPr="00804588" w14:paraId="091E1251" w14:textId="77777777" w:rsidTr="00804588">
        <w:tc>
          <w:tcPr>
            <w:tcW w:w="0" w:type="auto"/>
            <w:hideMark/>
          </w:tcPr>
          <w:p w14:paraId="618ECA8A"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法院层级</w:t>
            </w:r>
          </w:p>
        </w:tc>
        <w:tc>
          <w:tcPr>
            <w:tcW w:w="0" w:type="auto"/>
            <w:hideMark/>
          </w:tcPr>
          <w:p w14:paraId="3DFD065F"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仅基层法院及其派出法庭（</w:t>
            </w:r>
            <w:r w:rsidRPr="00804588">
              <w:rPr>
                <w:rFonts w:ascii="Microsoft YaHei UI" w:eastAsia="Microsoft YaHei UI" w:hAnsi="Microsoft YaHei UI" w:cs="Times New Roman"/>
                <w:kern w:val="0"/>
                <w14:ligatures w14:val="none"/>
              </w:rPr>
              <w:t>§160</w:t>
            </w:r>
            <w:r w:rsidRPr="00804588">
              <w:rPr>
                <w:rFonts w:ascii="Microsoft YaHei UI" w:eastAsia="Microsoft YaHei UI" w:hAnsi="Microsoft YaHei UI" w:cs="SimSun"/>
                <w:kern w:val="0"/>
                <w14:ligatures w14:val="none"/>
              </w:rPr>
              <w:t>）</w:t>
            </w:r>
          </w:p>
        </w:tc>
        <w:tc>
          <w:tcPr>
            <w:tcW w:w="0" w:type="auto"/>
            <w:hideMark/>
          </w:tcPr>
          <w:p w14:paraId="2EEA361E"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仅基层法院及其派出法庭（</w:t>
            </w:r>
            <w:r w:rsidRPr="00804588">
              <w:rPr>
                <w:rFonts w:ascii="Microsoft YaHei UI" w:eastAsia="Microsoft YaHei UI" w:hAnsi="Microsoft YaHei UI" w:cs="Times New Roman"/>
                <w:kern w:val="0"/>
                <w14:ligatures w14:val="none"/>
              </w:rPr>
              <w:t>§165</w:t>
            </w:r>
            <w:r w:rsidRPr="00804588">
              <w:rPr>
                <w:rFonts w:ascii="Microsoft YaHei UI" w:eastAsia="Microsoft YaHei UI" w:hAnsi="Microsoft YaHei UI" w:cs="SimSun"/>
                <w:kern w:val="0"/>
                <w14:ligatures w14:val="none"/>
              </w:rPr>
              <w:t>；海事法院可适用，解释</w:t>
            </w:r>
            <w:r w:rsidRPr="00804588">
              <w:rPr>
                <w:rFonts w:ascii="Microsoft YaHei UI" w:eastAsia="Microsoft YaHei UI" w:hAnsi="Microsoft YaHei UI" w:cs="Times New Roman"/>
                <w:kern w:val="0"/>
                <w14:ligatures w14:val="none"/>
              </w:rPr>
              <w:t>§273</w:t>
            </w:r>
            <w:r w:rsidRPr="00804588">
              <w:rPr>
                <w:rFonts w:ascii="Microsoft YaHei UI" w:eastAsia="Microsoft YaHei UI" w:hAnsi="Microsoft YaHei UI" w:cs="SimSun"/>
                <w:kern w:val="0"/>
                <w14:ligatures w14:val="none"/>
              </w:rPr>
              <w:t>）</w:t>
            </w:r>
          </w:p>
        </w:tc>
        <w:tc>
          <w:tcPr>
            <w:tcW w:w="0" w:type="auto"/>
            <w:hideMark/>
          </w:tcPr>
          <w:p w14:paraId="6A2ADAF0"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仅基层法院（</w:t>
            </w:r>
            <w:r w:rsidRPr="00804588">
              <w:rPr>
                <w:rFonts w:ascii="Microsoft YaHei UI" w:eastAsia="Microsoft YaHei UI" w:hAnsi="Microsoft YaHei UI" w:cs="Times New Roman"/>
                <w:kern w:val="0"/>
                <w14:ligatures w14:val="none"/>
              </w:rPr>
              <w:t>§40 II</w:t>
            </w:r>
            <w:r w:rsidRPr="00804588">
              <w:rPr>
                <w:rFonts w:ascii="Microsoft YaHei UI" w:eastAsia="Microsoft YaHei UI" w:hAnsi="Microsoft YaHei UI" w:cs="SimSun"/>
                <w:kern w:val="0"/>
                <w14:ligatures w14:val="none"/>
              </w:rPr>
              <w:t>后段）</w:t>
            </w:r>
          </w:p>
        </w:tc>
      </w:tr>
      <w:tr w:rsidR="00804588" w:rsidRPr="00804588" w14:paraId="5F9D3766" w14:textId="77777777" w:rsidTr="00804588">
        <w:tc>
          <w:tcPr>
            <w:tcW w:w="0" w:type="auto"/>
            <w:hideMark/>
          </w:tcPr>
          <w:p w14:paraId="61B15AD5"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适用条件</w:t>
            </w:r>
          </w:p>
        </w:tc>
        <w:tc>
          <w:tcPr>
            <w:tcW w:w="0" w:type="auto"/>
            <w:hideMark/>
          </w:tcPr>
          <w:p w14:paraId="6BF67A10"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事实清楚</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权利义务关系明确</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争议不大（解释</w:t>
            </w:r>
            <w:r w:rsidRPr="00804588">
              <w:rPr>
                <w:rFonts w:ascii="Microsoft YaHei UI" w:eastAsia="Microsoft YaHei UI" w:hAnsi="Microsoft YaHei UI" w:cs="Times New Roman"/>
                <w:kern w:val="0"/>
                <w14:ligatures w14:val="none"/>
              </w:rPr>
              <w:t>§256</w:t>
            </w:r>
            <w:r w:rsidRPr="00804588">
              <w:rPr>
                <w:rFonts w:ascii="Microsoft YaHei UI" w:eastAsia="Microsoft YaHei UI" w:hAnsi="Microsoft YaHei UI" w:cs="SimSun"/>
                <w:kern w:val="0"/>
                <w14:ligatures w14:val="none"/>
              </w:rPr>
              <w:t>界定三要素）</w:t>
            </w:r>
          </w:p>
        </w:tc>
        <w:tc>
          <w:tcPr>
            <w:tcW w:w="0" w:type="auto"/>
            <w:hideMark/>
          </w:tcPr>
          <w:p w14:paraId="69B5AC19"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前述简单案件且为</w:t>
            </w:r>
            <w:r w:rsidRPr="00804588">
              <w:rPr>
                <w:rFonts w:ascii="Microsoft YaHei UI" w:eastAsia="Microsoft YaHei UI" w:hAnsi="Microsoft YaHei UI" w:cs="SimSun"/>
                <w:b/>
                <w:bCs/>
                <w:kern w:val="0"/>
                <w14:ligatures w14:val="none"/>
              </w:rPr>
              <w:t>金钱给付</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标的额两档（</w:t>
            </w:r>
            <w:r w:rsidRPr="00804588">
              <w:rPr>
                <w:rFonts w:ascii="Microsoft YaHei UI" w:eastAsia="Microsoft YaHei UI" w:hAnsi="Microsoft YaHei UI" w:cs="Times New Roman"/>
                <w:kern w:val="0"/>
                <w14:ligatures w14:val="none"/>
              </w:rPr>
              <w:t>50%</w:t>
            </w:r>
            <w:r w:rsidRPr="00804588">
              <w:rPr>
                <w:rFonts w:ascii="Microsoft YaHei UI" w:eastAsia="Microsoft YaHei UI" w:hAnsi="Microsoft YaHei UI" w:cs="SimSun"/>
                <w:kern w:val="0"/>
                <w14:ligatures w14:val="none"/>
              </w:rPr>
              <w:t>以下必须</w:t>
            </w:r>
            <w:r w:rsidRPr="00804588">
              <w:rPr>
                <w:rFonts w:ascii="Microsoft YaHei UI" w:eastAsia="Microsoft YaHei UI" w:hAnsi="Microsoft YaHei UI" w:cs="Times New Roman"/>
                <w:kern w:val="0"/>
                <w14:ligatures w14:val="none"/>
              </w:rPr>
              <w:t>/50%-2</w:t>
            </w:r>
            <w:r w:rsidRPr="00804588">
              <w:rPr>
                <w:rFonts w:ascii="Microsoft YaHei UI" w:eastAsia="Microsoft YaHei UI" w:hAnsi="Microsoft YaHei UI" w:cs="SimSun"/>
                <w:kern w:val="0"/>
                <w14:ligatures w14:val="none"/>
              </w:rPr>
              <w:t>倍合意，</w:t>
            </w:r>
            <w:r w:rsidRPr="00804588">
              <w:rPr>
                <w:rFonts w:ascii="Microsoft YaHei UI" w:eastAsia="Microsoft YaHei UI" w:hAnsi="Microsoft YaHei UI" w:cs="Times New Roman"/>
                <w:kern w:val="0"/>
                <w14:ligatures w14:val="none"/>
              </w:rPr>
              <w:t>§165</w:t>
            </w:r>
            <w:r w:rsidRPr="00804588">
              <w:rPr>
                <w:rFonts w:ascii="Microsoft YaHei UI" w:eastAsia="Microsoft YaHei UI" w:hAnsi="Microsoft YaHei UI" w:cs="SimSun"/>
                <w:kern w:val="0"/>
                <w14:ligatures w14:val="none"/>
              </w:rPr>
              <w:t>）</w:t>
            </w:r>
          </w:p>
        </w:tc>
        <w:tc>
          <w:tcPr>
            <w:tcW w:w="0" w:type="auto"/>
            <w:hideMark/>
          </w:tcPr>
          <w:p w14:paraId="799837AF"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b/>
                <w:bCs/>
                <w:kern w:val="0"/>
                <w14:ligatures w14:val="none"/>
              </w:rPr>
              <w:t>基本事实清楚</w:t>
            </w:r>
            <w:r w:rsidRPr="00804588">
              <w:rPr>
                <w:rFonts w:ascii="Microsoft YaHei UI" w:eastAsia="Microsoft YaHei UI" w:hAnsi="Microsoft YaHei UI" w:cs="Times New Roman"/>
                <w:b/>
                <w:bCs/>
                <w:kern w:val="0"/>
                <w14:ligatures w14:val="none"/>
              </w:rPr>
              <w:t>+</w:t>
            </w:r>
            <w:r w:rsidRPr="00804588">
              <w:rPr>
                <w:rFonts w:ascii="Microsoft YaHei UI" w:eastAsia="Microsoft YaHei UI" w:hAnsi="Microsoft YaHei UI" w:cs="SimSun"/>
                <w:b/>
                <w:bCs/>
                <w:kern w:val="0"/>
                <w14:ligatures w14:val="none"/>
              </w:rPr>
              <w:t>权利义务关系明确</w:t>
            </w:r>
            <w:r w:rsidRPr="00804588">
              <w:rPr>
                <w:rFonts w:ascii="Microsoft YaHei UI" w:eastAsia="Microsoft YaHei UI" w:hAnsi="Microsoft YaHei UI" w:cs="SimSun"/>
                <w:kern w:val="0"/>
                <w14:ligatures w14:val="none"/>
              </w:rPr>
              <w:t>（无</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争议不大</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要件）</w:t>
            </w:r>
          </w:p>
        </w:tc>
      </w:tr>
      <w:tr w:rsidR="00804588" w:rsidRPr="00804588" w14:paraId="20E51AF6" w14:textId="77777777" w:rsidTr="00804588">
        <w:tc>
          <w:tcPr>
            <w:tcW w:w="0" w:type="auto"/>
            <w:hideMark/>
          </w:tcPr>
          <w:p w14:paraId="2D632371"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lastRenderedPageBreak/>
              <w:t>合意空间</w:t>
            </w:r>
          </w:p>
        </w:tc>
        <w:tc>
          <w:tcPr>
            <w:tcW w:w="0" w:type="auto"/>
            <w:hideMark/>
          </w:tcPr>
          <w:p w14:paraId="4F53624B"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非简单案件可约定适用（</w:t>
            </w:r>
            <w:r w:rsidRPr="00804588">
              <w:rPr>
                <w:rFonts w:ascii="Microsoft YaHei UI" w:eastAsia="Microsoft YaHei UI" w:hAnsi="Microsoft YaHei UI" w:cs="Times New Roman"/>
                <w:kern w:val="0"/>
                <w14:ligatures w14:val="none"/>
              </w:rPr>
              <w:t>§160 II</w:t>
            </w:r>
            <w:r w:rsidRPr="00804588">
              <w:rPr>
                <w:rFonts w:ascii="Microsoft YaHei UI" w:eastAsia="Microsoft YaHei UI" w:hAnsi="Microsoft YaHei UI" w:cs="SimSun"/>
                <w:kern w:val="0"/>
                <w14:ligatures w14:val="none"/>
              </w:rPr>
              <w:t>），但</w:t>
            </w:r>
            <w:r w:rsidRPr="00804588">
              <w:rPr>
                <w:rFonts w:ascii="Microsoft YaHei UI" w:eastAsia="Microsoft YaHei UI" w:hAnsi="Microsoft YaHei UI" w:cs="Times New Roman"/>
                <w:kern w:val="0"/>
                <w14:ligatures w14:val="none"/>
              </w:rPr>
              <w:t>§257</w:t>
            </w:r>
            <w:r w:rsidRPr="00804588">
              <w:rPr>
                <w:rFonts w:ascii="Microsoft YaHei UI" w:eastAsia="Microsoft YaHei UI" w:hAnsi="Microsoft YaHei UI" w:cs="SimSun"/>
                <w:kern w:val="0"/>
                <w14:ligatures w14:val="none"/>
              </w:rPr>
              <w:t>清单不可约定（解释</w:t>
            </w:r>
            <w:r w:rsidRPr="00804588">
              <w:rPr>
                <w:rFonts w:ascii="Microsoft YaHei UI" w:eastAsia="Microsoft YaHei UI" w:hAnsi="Microsoft YaHei UI" w:cs="Times New Roman"/>
                <w:kern w:val="0"/>
                <w14:ligatures w14:val="none"/>
              </w:rPr>
              <w:t>§264 II</w:t>
            </w:r>
            <w:r w:rsidRPr="00804588">
              <w:rPr>
                <w:rFonts w:ascii="Microsoft YaHei UI" w:eastAsia="Microsoft YaHei UI" w:hAnsi="Microsoft YaHei UI" w:cs="SimSun"/>
                <w:kern w:val="0"/>
                <w14:ligatures w14:val="none"/>
              </w:rPr>
              <w:t>）</w:t>
            </w:r>
          </w:p>
        </w:tc>
        <w:tc>
          <w:tcPr>
            <w:tcW w:w="0" w:type="auto"/>
            <w:hideMark/>
          </w:tcPr>
          <w:p w14:paraId="4CEEB295"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仅</w:t>
            </w:r>
            <w:r w:rsidRPr="00804588">
              <w:rPr>
                <w:rFonts w:ascii="Microsoft YaHei UI" w:eastAsia="Microsoft YaHei UI" w:hAnsi="Microsoft YaHei UI" w:cs="Times New Roman"/>
                <w:kern w:val="0"/>
                <w14:ligatures w14:val="none"/>
              </w:rPr>
              <w:t>50%-2</w:t>
            </w:r>
            <w:r w:rsidRPr="00804588">
              <w:rPr>
                <w:rFonts w:ascii="Microsoft YaHei UI" w:eastAsia="Microsoft YaHei UI" w:hAnsi="Microsoft YaHei UI" w:cs="SimSun"/>
                <w:kern w:val="0"/>
                <w14:ligatures w14:val="none"/>
              </w:rPr>
              <w:t>倍档可约定（</w:t>
            </w:r>
            <w:r w:rsidRPr="00804588">
              <w:rPr>
                <w:rFonts w:ascii="Microsoft YaHei UI" w:eastAsia="Microsoft YaHei UI" w:hAnsi="Microsoft YaHei UI" w:cs="Times New Roman"/>
                <w:kern w:val="0"/>
                <w14:ligatures w14:val="none"/>
              </w:rPr>
              <w:t>§165 II</w:t>
            </w:r>
            <w:r w:rsidRPr="00804588">
              <w:rPr>
                <w:rFonts w:ascii="Microsoft YaHei UI" w:eastAsia="Microsoft YaHei UI" w:hAnsi="Microsoft YaHei UI" w:cs="SimSun"/>
                <w:kern w:val="0"/>
                <w14:ligatures w14:val="none"/>
              </w:rPr>
              <w:t>），</w:t>
            </w:r>
            <w:r w:rsidRPr="00804588">
              <w:rPr>
                <w:rFonts w:ascii="Microsoft YaHei UI" w:eastAsia="Microsoft YaHei UI" w:hAnsi="Microsoft YaHei UI" w:cs="Times New Roman"/>
                <w:kern w:val="0"/>
                <w14:ligatures w14:val="none"/>
              </w:rPr>
              <w:t>§166</w:t>
            </w:r>
            <w:r w:rsidRPr="00804588">
              <w:rPr>
                <w:rFonts w:ascii="Microsoft YaHei UI" w:eastAsia="Microsoft YaHei UI" w:hAnsi="Microsoft YaHei UI" w:cs="SimSun"/>
                <w:kern w:val="0"/>
                <w14:ligatures w14:val="none"/>
              </w:rPr>
              <w:t>清单不可约定</w:t>
            </w:r>
          </w:p>
        </w:tc>
        <w:tc>
          <w:tcPr>
            <w:tcW w:w="0" w:type="auto"/>
            <w:hideMark/>
          </w:tcPr>
          <w:p w14:paraId="7C45E813"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无合意通道（一审独任不以当事人同意为条件；对比二审独任</w:t>
            </w:r>
            <w:r w:rsidRPr="00804588">
              <w:rPr>
                <w:rFonts w:ascii="Microsoft YaHei UI" w:eastAsia="Microsoft YaHei UI" w:hAnsi="Microsoft YaHei UI" w:cs="Times New Roman"/>
                <w:kern w:val="0"/>
                <w14:ligatures w14:val="none"/>
              </w:rPr>
              <w:t>§41 II</w:t>
            </w:r>
            <w:r w:rsidRPr="00804588">
              <w:rPr>
                <w:rFonts w:ascii="Microsoft YaHei UI" w:eastAsia="Microsoft YaHei UI" w:hAnsi="Microsoft YaHei UI" w:cs="SimSun"/>
                <w:kern w:val="0"/>
                <w14:ligatures w14:val="none"/>
              </w:rPr>
              <w:t>须双方同意）</w:t>
            </w:r>
          </w:p>
        </w:tc>
      </w:tr>
      <w:tr w:rsidR="00804588" w:rsidRPr="00804588" w14:paraId="4704D80B" w14:textId="77777777" w:rsidTr="00804588">
        <w:tc>
          <w:tcPr>
            <w:tcW w:w="0" w:type="auto"/>
            <w:hideMark/>
          </w:tcPr>
          <w:p w14:paraId="1048252A"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禁用清单</w:t>
            </w:r>
          </w:p>
        </w:tc>
        <w:tc>
          <w:tcPr>
            <w:tcW w:w="0" w:type="auto"/>
            <w:hideMark/>
          </w:tcPr>
          <w:p w14:paraId="3AC66EE9"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解释</w:t>
            </w:r>
            <w:r w:rsidRPr="00804588">
              <w:rPr>
                <w:rFonts w:ascii="Microsoft YaHei UI" w:eastAsia="Microsoft YaHei UI" w:hAnsi="Microsoft YaHei UI" w:cs="Times New Roman"/>
                <w:kern w:val="0"/>
                <w14:ligatures w14:val="none"/>
              </w:rPr>
              <w:t>§257</w:t>
            </w:r>
            <w:r w:rsidRPr="00804588">
              <w:rPr>
                <w:rFonts w:ascii="Microsoft YaHei UI" w:eastAsia="Microsoft YaHei UI" w:hAnsi="Microsoft YaHei UI" w:cs="SimSun"/>
                <w:kern w:val="0"/>
                <w14:ligatures w14:val="none"/>
              </w:rPr>
              <w:t>七类（下落不明</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发回重审</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人数众多</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再审</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国益公益</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第三人撤销之诉</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其他）</w:t>
            </w:r>
          </w:p>
        </w:tc>
        <w:tc>
          <w:tcPr>
            <w:tcW w:w="0" w:type="auto"/>
            <w:hideMark/>
          </w:tcPr>
          <w:p w14:paraId="6999B264"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Times New Roman"/>
                <w:kern w:val="0"/>
                <w14:ligatures w14:val="none"/>
              </w:rPr>
              <w:t>§166</w:t>
            </w:r>
            <w:r w:rsidRPr="00804588">
              <w:rPr>
                <w:rFonts w:ascii="Microsoft YaHei UI" w:eastAsia="Microsoft YaHei UI" w:hAnsi="Microsoft YaHei UI" w:cs="SimSun"/>
                <w:kern w:val="0"/>
                <w14:ligatures w14:val="none"/>
              </w:rPr>
              <w:t>六类（人身关系财产确权</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涉外</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需评估鉴定</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下落不明</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反诉</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其他）</w:t>
            </w:r>
          </w:p>
        </w:tc>
        <w:tc>
          <w:tcPr>
            <w:tcW w:w="0" w:type="auto"/>
            <w:hideMark/>
          </w:tcPr>
          <w:p w14:paraId="485D86B0"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Times New Roman"/>
                <w:kern w:val="0"/>
                <w14:ligatures w14:val="none"/>
              </w:rPr>
              <w:t>§42</w:t>
            </w:r>
            <w:r w:rsidRPr="00804588">
              <w:rPr>
                <w:rFonts w:ascii="Microsoft YaHei UI" w:eastAsia="Microsoft YaHei UI" w:hAnsi="Microsoft YaHei UI" w:cs="SimSun"/>
                <w:kern w:val="0"/>
                <w14:ligatures w14:val="none"/>
              </w:rPr>
              <w:t>六类（国益公益</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群体性</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广泛关注</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新类型疑难</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法定合议</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其他）</w:t>
            </w:r>
          </w:p>
        </w:tc>
      </w:tr>
      <w:tr w:rsidR="00804588" w:rsidRPr="00804588" w14:paraId="637BC9E1" w14:textId="77777777" w:rsidTr="00804588">
        <w:tc>
          <w:tcPr>
            <w:tcW w:w="0" w:type="auto"/>
            <w:hideMark/>
          </w:tcPr>
          <w:p w14:paraId="1FE0EA20"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审限</w:t>
            </w:r>
          </w:p>
        </w:tc>
        <w:tc>
          <w:tcPr>
            <w:tcW w:w="0" w:type="auto"/>
            <w:hideMark/>
          </w:tcPr>
          <w:p w14:paraId="12829615"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Times New Roman"/>
                <w:b/>
                <w:bCs/>
                <w:kern w:val="0"/>
                <w14:ligatures w14:val="none"/>
              </w:rPr>
              <w:t>3</w:t>
            </w:r>
            <w:r w:rsidRPr="00804588">
              <w:rPr>
                <w:rFonts w:ascii="Microsoft YaHei UI" w:eastAsia="Microsoft YaHei UI" w:hAnsi="Microsoft YaHei UI" w:cs="SimSun"/>
                <w:b/>
                <w:bCs/>
                <w:kern w:val="0"/>
                <w14:ligatures w14:val="none"/>
              </w:rPr>
              <w:t>个月</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院长批准延</w:t>
            </w:r>
            <w:r w:rsidRPr="00804588">
              <w:rPr>
                <w:rFonts w:ascii="Microsoft YaHei UI" w:eastAsia="Microsoft YaHei UI" w:hAnsi="Microsoft YaHei UI" w:cs="Times New Roman"/>
                <w:kern w:val="0"/>
                <w14:ligatures w14:val="none"/>
              </w:rPr>
              <w:t>1</w:t>
            </w:r>
            <w:r w:rsidRPr="00804588">
              <w:rPr>
                <w:rFonts w:ascii="Microsoft YaHei UI" w:eastAsia="Microsoft YaHei UI" w:hAnsi="Microsoft YaHei UI" w:cs="SimSun"/>
                <w:kern w:val="0"/>
                <w14:ligatures w14:val="none"/>
              </w:rPr>
              <w:t>个月（</w:t>
            </w:r>
            <w:r w:rsidRPr="00804588">
              <w:rPr>
                <w:rFonts w:ascii="Microsoft YaHei UI" w:eastAsia="Microsoft YaHei UI" w:hAnsi="Microsoft YaHei UI" w:cs="Times New Roman"/>
                <w:kern w:val="0"/>
                <w14:ligatures w14:val="none"/>
              </w:rPr>
              <w:t>§164</w:t>
            </w:r>
            <w:r w:rsidRPr="00804588">
              <w:rPr>
                <w:rFonts w:ascii="Microsoft YaHei UI" w:eastAsia="Microsoft YaHei UI" w:hAnsi="Microsoft YaHei UI" w:cs="SimSun"/>
                <w:kern w:val="0"/>
                <w14:ligatures w14:val="none"/>
              </w:rPr>
              <w:t>；累计</w:t>
            </w:r>
            <w:r w:rsidRPr="00804588">
              <w:rPr>
                <w:rFonts w:ascii="Microsoft YaHei UI" w:eastAsia="Microsoft YaHei UI" w:hAnsi="Microsoft YaHei UI" w:cs="Times New Roman"/>
                <w:kern w:val="0"/>
                <w14:ligatures w14:val="none"/>
              </w:rPr>
              <w:t>≤4</w:t>
            </w:r>
            <w:r w:rsidRPr="00804588">
              <w:rPr>
                <w:rFonts w:ascii="Microsoft YaHei UI" w:eastAsia="Microsoft YaHei UI" w:hAnsi="Microsoft YaHei UI" w:cs="SimSun"/>
                <w:kern w:val="0"/>
                <w14:ligatures w14:val="none"/>
              </w:rPr>
              <w:t>个月，解释</w:t>
            </w:r>
            <w:r w:rsidRPr="00804588">
              <w:rPr>
                <w:rFonts w:ascii="Microsoft YaHei UI" w:eastAsia="Microsoft YaHei UI" w:hAnsi="Microsoft YaHei UI" w:cs="Times New Roman"/>
                <w:kern w:val="0"/>
                <w14:ligatures w14:val="none"/>
              </w:rPr>
              <w:t>§258</w:t>
            </w:r>
            <w:r w:rsidRPr="00804588">
              <w:rPr>
                <w:rFonts w:ascii="Microsoft YaHei UI" w:eastAsia="Microsoft YaHei UI" w:hAnsi="Microsoft YaHei UI" w:cs="SimSun"/>
                <w:kern w:val="0"/>
                <w14:ligatures w14:val="none"/>
              </w:rPr>
              <w:t>）</w:t>
            </w:r>
          </w:p>
        </w:tc>
        <w:tc>
          <w:tcPr>
            <w:tcW w:w="0" w:type="auto"/>
            <w:hideMark/>
          </w:tcPr>
          <w:p w14:paraId="36C46FE8"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Times New Roman"/>
                <w:b/>
                <w:bCs/>
                <w:kern w:val="0"/>
                <w14:ligatures w14:val="none"/>
              </w:rPr>
              <w:t>2</w:t>
            </w:r>
            <w:r w:rsidRPr="00804588">
              <w:rPr>
                <w:rFonts w:ascii="Microsoft YaHei UI" w:eastAsia="Microsoft YaHei UI" w:hAnsi="Microsoft YaHei UI" w:cs="SimSun"/>
                <w:b/>
                <w:bCs/>
                <w:kern w:val="0"/>
                <w14:ligatures w14:val="none"/>
              </w:rPr>
              <w:t>个月</w:t>
            </w:r>
            <w:r w:rsidRPr="00804588">
              <w:rPr>
                <w:rFonts w:ascii="Microsoft YaHei UI" w:eastAsia="Microsoft YaHei UI" w:hAnsi="Microsoft YaHei UI" w:cs="Times New Roman"/>
                <w:kern w:val="0"/>
                <w14:ligatures w14:val="none"/>
              </w:rPr>
              <w:t>+</w:t>
            </w:r>
            <w:r w:rsidRPr="00804588">
              <w:rPr>
                <w:rFonts w:ascii="Microsoft YaHei UI" w:eastAsia="Microsoft YaHei UI" w:hAnsi="Microsoft YaHei UI" w:cs="SimSun"/>
                <w:kern w:val="0"/>
                <w14:ligatures w14:val="none"/>
              </w:rPr>
              <w:t>院长批准延</w:t>
            </w:r>
            <w:r w:rsidRPr="00804588">
              <w:rPr>
                <w:rFonts w:ascii="Microsoft YaHei UI" w:eastAsia="Microsoft YaHei UI" w:hAnsi="Microsoft YaHei UI" w:cs="Times New Roman"/>
                <w:kern w:val="0"/>
                <w14:ligatures w14:val="none"/>
              </w:rPr>
              <w:t>1</w:t>
            </w:r>
            <w:r w:rsidRPr="00804588">
              <w:rPr>
                <w:rFonts w:ascii="Microsoft YaHei UI" w:eastAsia="Microsoft YaHei UI" w:hAnsi="Microsoft YaHei UI" w:cs="SimSun"/>
                <w:kern w:val="0"/>
                <w14:ligatures w14:val="none"/>
              </w:rPr>
              <w:t>个月（</w:t>
            </w:r>
            <w:r w:rsidRPr="00804588">
              <w:rPr>
                <w:rFonts w:ascii="Microsoft YaHei UI" w:eastAsia="Microsoft YaHei UI" w:hAnsi="Microsoft YaHei UI" w:cs="Times New Roman"/>
                <w:kern w:val="0"/>
                <w14:ligatures w14:val="none"/>
              </w:rPr>
              <w:t>§168</w:t>
            </w:r>
            <w:r w:rsidRPr="00804588">
              <w:rPr>
                <w:rFonts w:ascii="Microsoft YaHei UI" w:eastAsia="Microsoft YaHei UI" w:hAnsi="Microsoft YaHei UI" w:cs="SimSun"/>
                <w:kern w:val="0"/>
                <w14:ligatures w14:val="none"/>
              </w:rPr>
              <w:t>）</w:t>
            </w:r>
          </w:p>
        </w:tc>
        <w:tc>
          <w:tcPr>
            <w:tcW w:w="0" w:type="auto"/>
            <w:hideMark/>
          </w:tcPr>
          <w:p w14:paraId="2905EDAD"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普通程序审限（不因独任而缩短）</w:t>
            </w:r>
          </w:p>
        </w:tc>
      </w:tr>
      <w:tr w:rsidR="00804588" w:rsidRPr="00804588" w14:paraId="5CB13D2B" w14:textId="77777777" w:rsidTr="00804588">
        <w:tc>
          <w:tcPr>
            <w:tcW w:w="0" w:type="auto"/>
            <w:hideMark/>
          </w:tcPr>
          <w:p w14:paraId="1EFCBA3F"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审级救济</w:t>
            </w:r>
          </w:p>
        </w:tc>
        <w:tc>
          <w:tcPr>
            <w:tcW w:w="0" w:type="auto"/>
            <w:hideMark/>
          </w:tcPr>
          <w:p w14:paraId="6081BFE0"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两审终审，可上诉</w:t>
            </w:r>
          </w:p>
        </w:tc>
        <w:tc>
          <w:tcPr>
            <w:tcW w:w="0" w:type="auto"/>
            <w:hideMark/>
          </w:tcPr>
          <w:p w14:paraId="6CAAEF08"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b/>
                <w:bCs/>
                <w:kern w:val="0"/>
                <w14:ligatures w14:val="none"/>
              </w:rPr>
              <w:t>一审终审</w:t>
            </w:r>
            <w:r w:rsidRPr="00804588">
              <w:rPr>
                <w:rFonts w:ascii="Microsoft YaHei UI" w:eastAsia="Microsoft YaHei UI" w:hAnsi="Microsoft YaHei UI" w:cs="SimSun"/>
                <w:kern w:val="0"/>
                <w14:ligatures w14:val="none"/>
              </w:rPr>
              <w:t>，不可上诉，可再审（解释</w:t>
            </w:r>
            <w:r w:rsidRPr="00804588">
              <w:rPr>
                <w:rFonts w:ascii="Microsoft YaHei UI" w:eastAsia="Microsoft YaHei UI" w:hAnsi="Microsoft YaHei UI" w:cs="Times New Roman"/>
                <w:kern w:val="0"/>
                <w14:ligatures w14:val="none"/>
              </w:rPr>
              <w:t>§424</w:t>
            </w:r>
            <w:r w:rsidRPr="00804588">
              <w:rPr>
                <w:rFonts w:ascii="Microsoft YaHei UI" w:eastAsia="Microsoft YaHei UI" w:hAnsi="Microsoft YaHei UI" w:cs="SimSun"/>
                <w:kern w:val="0"/>
                <w14:ligatures w14:val="none"/>
              </w:rPr>
              <w:t>两路径）</w:t>
            </w:r>
          </w:p>
        </w:tc>
        <w:tc>
          <w:tcPr>
            <w:tcW w:w="0" w:type="auto"/>
            <w:hideMark/>
          </w:tcPr>
          <w:p w14:paraId="74A0ED01"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两审终审，可上诉</w:t>
            </w:r>
          </w:p>
        </w:tc>
      </w:tr>
      <w:tr w:rsidR="00804588" w:rsidRPr="00804588" w14:paraId="578BA47A" w14:textId="77777777" w:rsidTr="00804588">
        <w:tc>
          <w:tcPr>
            <w:tcW w:w="0" w:type="auto"/>
            <w:hideMark/>
          </w:tcPr>
          <w:p w14:paraId="16847390"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不宜适用时的转换</w:t>
            </w:r>
          </w:p>
        </w:tc>
        <w:tc>
          <w:tcPr>
            <w:tcW w:w="0" w:type="auto"/>
            <w:hideMark/>
          </w:tcPr>
          <w:p w14:paraId="72522617"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裁定转为普通程序（</w:t>
            </w:r>
            <w:r w:rsidRPr="00804588">
              <w:rPr>
                <w:rFonts w:ascii="Microsoft YaHei UI" w:eastAsia="Microsoft YaHei UI" w:hAnsi="Microsoft YaHei UI" w:cs="Times New Roman"/>
                <w:kern w:val="0"/>
                <w14:ligatures w14:val="none"/>
              </w:rPr>
              <w:t>§170</w:t>
            </w:r>
            <w:r w:rsidRPr="00804588">
              <w:rPr>
                <w:rFonts w:ascii="Microsoft YaHei UI" w:eastAsia="Microsoft YaHei UI" w:hAnsi="Microsoft YaHei UI" w:cs="SimSun"/>
                <w:kern w:val="0"/>
                <w14:ligatures w14:val="none"/>
              </w:rPr>
              <w:t>），审限自立案日起算</w:t>
            </w:r>
          </w:p>
        </w:tc>
        <w:tc>
          <w:tcPr>
            <w:tcW w:w="0" w:type="auto"/>
            <w:hideMark/>
          </w:tcPr>
          <w:p w14:paraId="548C24D5"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适用简易程序其他规定审理或裁定转普（</w:t>
            </w:r>
            <w:r w:rsidRPr="00804588">
              <w:rPr>
                <w:rFonts w:ascii="Microsoft YaHei UI" w:eastAsia="Microsoft YaHei UI" w:hAnsi="Microsoft YaHei UI" w:cs="Times New Roman"/>
                <w:kern w:val="0"/>
                <w14:ligatures w14:val="none"/>
              </w:rPr>
              <w:t>§169</w:t>
            </w:r>
            <w:r w:rsidRPr="00804588">
              <w:rPr>
                <w:rFonts w:ascii="Microsoft YaHei UI" w:eastAsia="Microsoft YaHei UI" w:hAnsi="Microsoft YaHei UI" w:cs="SimSun"/>
                <w:kern w:val="0"/>
                <w14:ligatures w14:val="none"/>
              </w:rPr>
              <w:t>、解释</w:t>
            </w:r>
            <w:r w:rsidRPr="00804588">
              <w:rPr>
                <w:rFonts w:ascii="Microsoft YaHei UI" w:eastAsia="Microsoft YaHei UI" w:hAnsi="Microsoft YaHei UI" w:cs="Times New Roman"/>
                <w:kern w:val="0"/>
                <w14:ligatures w14:val="none"/>
              </w:rPr>
              <w:t>§278</w:t>
            </w:r>
            <w:r w:rsidRPr="00804588">
              <w:rPr>
                <w:rFonts w:ascii="Microsoft YaHei UI" w:eastAsia="Microsoft YaHei UI" w:hAnsi="Microsoft YaHei UI" w:cs="SimSun"/>
                <w:kern w:val="0"/>
                <w14:ligatures w14:val="none"/>
              </w:rPr>
              <w:t>）</w:t>
            </w:r>
          </w:p>
        </w:tc>
        <w:tc>
          <w:tcPr>
            <w:tcW w:w="0" w:type="auto"/>
            <w:hideMark/>
          </w:tcPr>
          <w:p w14:paraId="1F6DEF8D"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应当裁定转由合议庭审理（</w:t>
            </w:r>
            <w:r w:rsidRPr="00804588">
              <w:rPr>
                <w:rFonts w:ascii="Microsoft YaHei UI" w:eastAsia="Microsoft YaHei UI" w:hAnsi="Microsoft YaHei UI" w:cs="Times New Roman"/>
                <w:kern w:val="0"/>
                <w14:ligatures w14:val="none"/>
              </w:rPr>
              <w:t>§43 I</w:t>
            </w:r>
            <w:r w:rsidRPr="00804588">
              <w:rPr>
                <w:rFonts w:ascii="Microsoft YaHei UI" w:eastAsia="Microsoft YaHei UI" w:hAnsi="Microsoft YaHei UI" w:cs="SimSun"/>
                <w:kern w:val="0"/>
                <w14:ligatures w14:val="none"/>
              </w:rPr>
              <w:t>）</w:t>
            </w:r>
          </w:p>
        </w:tc>
      </w:tr>
      <w:tr w:rsidR="00804588" w:rsidRPr="00804588" w14:paraId="3E4A6CBE" w14:textId="77777777" w:rsidTr="00804588">
        <w:tc>
          <w:tcPr>
            <w:tcW w:w="0" w:type="auto"/>
            <w:hideMark/>
          </w:tcPr>
          <w:p w14:paraId="2331B543"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当事人异议</w:t>
            </w:r>
          </w:p>
        </w:tc>
        <w:tc>
          <w:tcPr>
            <w:tcW w:w="0" w:type="auto"/>
            <w:hideMark/>
          </w:tcPr>
          <w:p w14:paraId="4503961E"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SimSun"/>
                <w:kern w:val="0"/>
                <w14:ligatures w14:val="none"/>
              </w:rPr>
              <w:t>解释</w:t>
            </w:r>
            <w:r w:rsidRPr="00804588">
              <w:rPr>
                <w:rFonts w:ascii="Microsoft YaHei UI" w:eastAsia="Microsoft YaHei UI" w:hAnsi="Microsoft YaHei UI" w:cs="Times New Roman"/>
                <w:kern w:val="0"/>
                <w14:ligatures w14:val="none"/>
              </w:rPr>
              <w:t>§269</w:t>
            </w:r>
            <w:r w:rsidRPr="00804588">
              <w:rPr>
                <w:rFonts w:ascii="Microsoft YaHei UI" w:eastAsia="Microsoft YaHei UI" w:hAnsi="Microsoft YaHei UI" w:cs="SimSun"/>
                <w:kern w:val="0"/>
                <w14:ligatures w14:val="none"/>
              </w:rPr>
              <w:t>：成立转普、不成立裁定驳回</w:t>
            </w:r>
          </w:p>
        </w:tc>
        <w:tc>
          <w:tcPr>
            <w:tcW w:w="0" w:type="auto"/>
            <w:hideMark/>
          </w:tcPr>
          <w:p w14:paraId="35A2E161"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Times New Roman"/>
                <w:kern w:val="0"/>
                <w14:ligatures w14:val="none"/>
              </w:rPr>
              <w:t>§169 II/</w:t>
            </w:r>
            <w:r w:rsidRPr="00804588">
              <w:rPr>
                <w:rFonts w:ascii="Microsoft YaHei UI" w:eastAsia="Microsoft YaHei UI" w:hAnsi="Microsoft YaHei UI" w:cs="SimSun"/>
                <w:kern w:val="0"/>
                <w14:ligatures w14:val="none"/>
              </w:rPr>
              <w:t>解释</w:t>
            </w:r>
            <w:r w:rsidRPr="00804588">
              <w:rPr>
                <w:rFonts w:ascii="Microsoft YaHei UI" w:eastAsia="Microsoft YaHei UI" w:hAnsi="Microsoft YaHei UI" w:cs="Times New Roman"/>
                <w:kern w:val="0"/>
                <w14:ligatures w14:val="none"/>
              </w:rPr>
              <w:t>§279</w:t>
            </w:r>
            <w:r w:rsidRPr="00804588">
              <w:rPr>
                <w:rFonts w:ascii="Microsoft YaHei UI" w:eastAsia="Microsoft YaHei UI" w:hAnsi="Microsoft YaHei UI" w:cs="SimSun"/>
                <w:kern w:val="0"/>
                <w14:ligatures w14:val="none"/>
              </w:rPr>
              <w:t>：</w:t>
            </w:r>
            <w:r w:rsidRPr="00804588">
              <w:rPr>
                <w:rFonts w:ascii="Microsoft YaHei UI" w:eastAsia="Microsoft YaHei UI" w:hAnsi="Microsoft YaHei UI" w:cs="SimSun"/>
                <w:b/>
                <w:bCs/>
                <w:kern w:val="0"/>
                <w14:ligatures w14:val="none"/>
              </w:rPr>
              <w:t>开庭前</w:t>
            </w:r>
            <w:r w:rsidRPr="00804588">
              <w:rPr>
                <w:rFonts w:ascii="Microsoft YaHei UI" w:eastAsia="Microsoft YaHei UI" w:hAnsi="Microsoft YaHei UI" w:cs="SimSun"/>
                <w:kern w:val="0"/>
                <w14:ligatures w14:val="none"/>
              </w:rPr>
              <w:t>提出；成立转简易其他规定或普通程序</w:t>
            </w:r>
          </w:p>
        </w:tc>
        <w:tc>
          <w:tcPr>
            <w:tcW w:w="0" w:type="auto"/>
            <w:hideMark/>
          </w:tcPr>
          <w:p w14:paraId="44AD0FF8" w14:textId="77777777" w:rsidR="00804588" w:rsidRPr="00804588" w:rsidRDefault="00804588" w:rsidP="00804588">
            <w:pPr>
              <w:rPr>
                <w:rFonts w:ascii="Microsoft YaHei UI" w:eastAsia="Microsoft YaHei UI" w:hAnsi="Microsoft YaHei UI" w:cs="Times New Roman"/>
                <w:kern w:val="0"/>
                <w14:ligatures w14:val="none"/>
              </w:rPr>
            </w:pPr>
            <w:r w:rsidRPr="00804588">
              <w:rPr>
                <w:rFonts w:ascii="Microsoft YaHei UI" w:eastAsia="Microsoft YaHei UI" w:hAnsi="Microsoft YaHei UI" w:cs="Times New Roman"/>
                <w:kern w:val="0"/>
                <w14:ligatures w14:val="none"/>
              </w:rPr>
              <w:t>§43 II</w:t>
            </w:r>
            <w:r w:rsidRPr="00804588">
              <w:rPr>
                <w:rFonts w:ascii="Microsoft YaHei UI" w:eastAsia="Microsoft YaHei UI" w:hAnsi="Microsoft YaHei UI" w:cs="SimSun"/>
                <w:kern w:val="0"/>
                <w14:ligatures w14:val="none"/>
              </w:rPr>
              <w:t>：成立转合议庭、不成立裁定驳回</w:t>
            </w:r>
          </w:p>
        </w:tc>
      </w:tr>
    </w:tbl>
    <w:p w14:paraId="09A9D2FC" w14:textId="77777777" w:rsidR="00804588" w:rsidRDefault="00804588">
      <w:pPr>
        <w:rPr>
          <w:rFonts w:ascii="Microsoft YaHei UI" w:eastAsia="Microsoft YaHei UI" w:hAnsi="Microsoft YaHei UI"/>
        </w:rPr>
      </w:pPr>
    </w:p>
    <w:p w14:paraId="69C00B60" w14:textId="77777777" w:rsidR="006D5948" w:rsidRDefault="006D5948">
      <w:pPr>
        <w:rPr>
          <w:rFonts w:ascii="Microsoft YaHei UI" w:eastAsia="Microsoft YaHei UI" w:hAnsi="Microsoft YaHei UI"/>
        </w:rPr>
      </w:pPr>
    </w:p>
    <w:p w14:paraId="08B0C103" w14:textId="77777777" w:rsidR="006D5948" w:rsidRDefault="006D5948">
      <w:pPr>
        <w:rPr>
          <w:rFonts w:ascii="Microsoft YaHei UI" w:eastAsia="Microsoft YaHei UI" w:hAnsi="Microsoft YaHei UI"/>
        </w:rPr>
      </w:pPr>
    </w:p>
    <w:p w14:paraId="30735EA3" w14:textId="4C952DD0" w:rsidR="006D5948" w:rsidRDefault="006D5948" w:rsidP="006D5948">
      <w:pPr>
        <w:pStyle w:val="Heading1"/>
      </w:pPr>
      <w:r>
        <w:rPr>
          <w:rFonts w:hint="eastAsia"/>
        </w:rPr>
        <w:t>二审</w:t>
      </w:r>
    </w:p>
    <w:p w14:paraId="776B71C5" w14:textId="70E995EA" w:rsidR="006D5948" w:rsidRDefault="006D5948" w:rsidP="006D5948">
      <w:pPr>
        <w:pStyle w:val="Heading2"/>
      </w:pPr>
      <w:r w:rsidRPr="006D5948">
        <w:t>民事上诉制度</w:t>
      </w:r>
    </w:p>
    <w:p w14:paraId="60983478" w14:textId="4587F32A" w:rsidR="006D5948" w:rsidRPr="006D5948" w:rsidRDefault="006D5948" w:rsidP="006D5948">
      <w:pPr>
        <w:rPr>
          <w:rFonts w:ascii="Microsoft YaHei UI" w:eastAsia="Microsoft YaHei UI" w:hAnsi="Microsoft YaHei UI" w:hint="eastAsia"/>
        </w:rPr>
      </w:pPr>
      <w:r w:rsidRPr="006D5948">
        <w:rPr>
          <w:rFonts w:ascii="Microsoft YaHei UI" w:eastAsia="Microsoft YaHei UI" w:hAnsi="Microsoft YaHei UI"/>
        </w:rPr>
        <w:t>民事上诉制度：上诉主体为一审原告、被告、有独立请求权第三人；无独立请求权第三人原则无上诉权，一审判决判令其承担民事责任的享有上诉权；无、限制民事行为能力人由</w:t>
      </w:r>
      <w:r w:rsidRPr="006D5948">
        <w:rPr>
          <w:rFonts w:ascii="Microsoft YaHei UI" w:eastAsia="Microsoft YaHei UI" w:hAnsi="Microsoft YaHei UI"/>
        </w:rPr>
        <w:lastRenderedPageBreak/>
        <w:t>法定代理人代为上诉。可上诉对象：一审全部判决；裁定仅限不予受理、管辖权异议、驳回起诉三类。上诉期限：判决 15 日、裁定 10 日，自裁判文书送达之日分别独立起算，各方当事人上诉期互不牵连。上诉必须递交上诉状，仅口头上诉未按期提交上诉状视为未上诉，递交上诉状但逾期不交上诉费按自动撤回上诉处理。上诉路径：上诉状原则通过原审法院提交；亦可直接递交二审法院，二审法院 5 日内移交原审法院。原审法院收到上诉状后 5 日内送达副本，对方当事人 15 日内答辩，不答辩不影响审理；原审法院随后 5 日内将案卷全部报送二审法院；**上诉是否超期由二审法院审查，原审法院无权审查、驳回上诉**。当事人均上诉，全部列为上诉人；必要共同诉讼部分上诉，按上诉矛头划分地位：仅针对对方当事人，对方为被上诉人，其余原审列明；仅针对共同诉讼内部其他当事人，内部未上诉方为被上诉人，对方原审列明；同时针对双方，所有未上诉当事人均列为被上诉人。</w:t>
      </w:r>
    </w:p>
    <w:sectPr w:rsidR="006D5948" w:rsidRPr="006D59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YaHei UI">
    <w:panose1 w:val="020B0503020204020204"/>
    <w:charset w:val="86"/>
    <w:family w:val="swiss"/>
    <w:pitch w:val="variable"/>
    <w:sig w:usb0="80000287" w:usb1="2ACF3C50" w:usb2="00000016" w:usb3="00000000" w:csb0="0004001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D32AD7"/>
    <w:multiLevelType w:val="hybridMultilevel"/>
    <w:tmpl w:val="0E60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B80CE7"/>
    <w:multiLevelType w:val="hybridMultilevel"/>
    <w:tmpl w:val="CE3E9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237C24"/>
    <w:multiLevelType w:val="hybridMultilevel"/>
    <w:tmpl w:val="D55255C4"/>
    <w:lvl w:ilvl="0" w:tplc="DCAEAB30">
      <w:numFmt w:val="bullet"/>
      <w:lvlText w:val="-"/>
      <w:lvlJc w:val="left"/>
      <w:pPr>
        <w:ind w:left="720" w:hanging="360"/>
      </w:pPr>
      <w:rPr>
        <w:rFonts w:ascii="Microsoft YaHei UI" w:eastAsia="Microsoft YaHei UI" w:hAnsi="Microsoft YaHei UI"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6852127">
    <w:abstractNumId w:val="0"/>
  </w:num>
  <w:num w:numId="2" w16cid:durableId="1175462162">
    <w:abstractNumId w:val="2"/>
  </w:num>
  <w:num w:numId="3" w16cid:durableId="20670229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04"/>
    <w:rsid w:val="00034CB5"/>
    <w:rsid w:val="00083E87"/>
    <w:rsid w:val="000971FA"/>
    <w:rsid w:val="001D2F28"/>
    <w:rsid w:val="00216404"/>
    <w:rsid w:val="0022147D"/>
    <w:rsid w:val="002629B2"/>
    <w:rsid w:val="005A65A0"/>
    <w:rsid w:val="005B2893"/>
    <w:rsid w:val="006D5948"/>
    <w:rsid w:val="00754901"/>
    <w:rsid w:val="007A6D28"/>
    <w:rsid w:val="007D4D5F"/>
    <w:rsid w:val="00804588"/>
    <w:rsid w:val="00920275"/>
    <w:rsid w:val="00A23DCE"/>
    <w:rsid w:val="00BA159D"/>
    <w:rsid w:val="00C06F0A"/>
    <w:rsid w:val="00C37D63"/>
    <w:rsid w:val="00D356E7"/>
    <w:rsid w:val="00D749C4"/>
    <w:rsid w:val="00E67139"/>
    <w:rsid w:val="00F07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4F86C5"/>
  <w15:chartTrackingRefBased/>
  <w15:docId w15:val="{6D910A2F-F790-7B4D-9422-1DEF6F46B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404"/>
    <w:rPr>
      <w:rFonts w:eastAsiaTheme="majorEastAsia" w:cstheme="majorBidi"/>
      <w:color w:val="272727" w:themeColor="text1" w:themeTint="D8"/>
    </w:rPr>
  </w:style>
  <w:style w:type="paragraph" w:styleId="Title">
    <w:name w:val="Title"/>
    <w:basedOn w:val="Normal"/>
    <w:next w:val="Normal"/>
    <w:link w:val="TitleChar"/>
    <w:uiPriority w:val="10"/>
    <w:qFormat/>
    <w:rsid w:val="00216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404"/>
    <w:pPr>
      <w:spacing w:before="160"/>
      <w:jc w:val="center"/>
    </w:pPr>
    <w:rPr>
      <w:i/>
      <w:iCs/>
      <w:color w:val="404040" w:themeColor="text1" w:themeTint="BF"/>
    </w:rPr>
  </w:style>
  <w:style w:type="character" w:customStyle="1" w:styleId="QuoteChar">
    <w:name w:val="Quote Char"/>
    <w:basedOn w:val="DefaultParagraphFont"/>
    <w:link w:val="Quote"/>
    <w:uiPriority w:val="29"/>
    <w:rsid w:val="00216404"/>
    <w:rPr>
      <w:i/>
      <w:iCs/>
      <w:color w:val="404040" w:themeColor="text1" w:themeTint="BF"/>
    </w:rPr>
  </w:style>
  <w:style w:type="paragraph" w:styleId="ListParagraph">
    <w:name w:val="List Paragraph"/>
    <w:basedOn w:val="Normal"/>
    <w:uiPriority w:val="34"/>
    <w:qFormat/>
    <w:rsid w:val="00216404"/>
    <w:pPr>
      <w:ind w:left="720"/>
      <w:contextualSpacing/>
    </w:pPr>
  </w:style>
  <w:style w:type="character" w:styleId="IntenseEmphasis">
    <w:name w:val="Intense Emphasis"/>
    <w:basedOn w:val="DefaultParagraphFont"/>
    <w:uiPriority w:val="21"/>
    <w:qFormat/>
    <w:rsid w:val="00216404"/>
    <w:rPr>
      <w:i/>
      <w:iCs/>
      <w:color w:val="0F4761" w:themeColor="accent1" w:themeShade="BF"/>
    </w:rPr>
  </w:style>
  <w:style w:type="paragraph" w:styleId="IntenseQuote">
    <w:name w:val="Intense Quote"/>
    <w:basedOn w:val="Normal"/>
    <w:next w:val="Normal"/>
    <w:link w:val="IntenseQuoteChar"/>
    <w:uiPriority w:val="30"/>
    <w:qFormat/>
    <w:rsid w:val="00216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404"/>
    <w:rPr>
      <w:i/>
      <w:iCs/>
      <w:color w:val="0F4761" w:themeColor="accent1" w:themeShade="BF"/>
    </w:rPr>
  </w:style>
  <w:style w:type="character" w:styleId="IntenseReference">
    <w:name w:val="Intense Reference"/>
    <w:basedOn w:val="DefaultParagraphFont"/>
    <w:uiPriority w:val="32"/>
    <w:qFormat/>
    <w:rsid w:val="00216404"/>
    <w:rPr>
      <w:b/>
      <w:bCs/>
      <w:smallCaps/>
      <w:color w:val="0F4761" w:themeColor="accent1" w:themeShade="BF"/>
      <w:spacing w:val="5"/>
    </w:rPr>
  </w:style>
  <w:style w:type="paragraph" w:styleId="NormalWeb">
    <w:name w:val="Normal (Web)"/>
    <w:basedOn w:val="Normal"/>
    <w:uiPriority w:val="99"/>
    <w:unhideWhenUsed/>
    <w:rsid w:val="00F07B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7BFC"/>
    <w:rPr>
      <w:b/>
      <w:bCs/>
    </w:rPr>
  </w:style>
  <w:style w:type="table" w:styleId="TableGrid">
    <w:name w:val="Table Grid"/>
    <w:basedOn w:val="TableNormal"/>
    <w:uiPriority w:val="39"/>
    <w:rsid w:val="005B2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B28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B28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5B289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B289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Wang</dc:creator>
  <cp:keywords/>
  <dc:description/>
  <cp:lastModifiedBy>Allen Wang</cp:lastModifiedBy>
  <cp:revision>31</cp:revision>
  <cp:lastPrinted>2026-07-31T07:21:00Z</cp:lastPrinted>
  <dcterms:created xsi:type="dcterms:W3CDTF">2026-07-31T07:07:00Z</dcterms:created>
  <dcterms:modified xsi:type="dcterms:W3CDTF">2026-08-02T00:20:00Z</dcterms:modified>
</cp:coreProperties>
</file>