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7D7FDE32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7C0F63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946423C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67F1B5" w14:textId="34304201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Алгоритмы коллективных обменов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37CF703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Трансляционный обмен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2C11762E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Трансляционно-циклический обмен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Выводы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64420254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>2 Экспериментальное исследование эффективности алгоритма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16A3CA5" w14:textId="77777777" w:rsidR="00351BF5" w:rsidRPr="00B415AD" w:rsidRDefault="00000000">
      <w:pPr>
        <w:pStyle w:val="ReportSectionCentered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E6F3248" w14:textId="3FDD05FF" w:rsidR="00351BF5" w:rsidRPr="00B415AD" w:rsidRDefault="00000000" w:rsidP="00DE0084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В </w:t>
      </w:r>
    </w:p>
    <w:p w14:paraId="2AE8B319" w14:textId="77777777" w:rsidR="00351BF5" w:rsidRPr="00B415AD" w:rsidRDefault="00000000">
      <w:pPr>
        <w:pStyle w:val="ReportSection"/>
        <w:rPr>
          <w:rFonts w:ascii="Times New Roman" w:hAnsi="Times New Roman" w:cs="Times New Roman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Алгоритмы коллективных обменов информацией в распределённых ВС</w:t>
      </w:r>
      <w:bookmarkEnd w:id="1"/>
    </w:p>
    <w:p w14:paraId="3C2B8FBD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Трансляционный обмен информацией в распределённых ВС</w:t>
      </w:r>
      <w:bookmarkEnd w:id="2"/>
    </w:p>
    <w:p w14:paraId="6E360E57" w14:textId="1EAA46F5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2AD100CA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Иллюстрации оформляются по центру. Желательно использовать собственноручно сделанные иллюстрации в векторном формате (</w:t>
      </w:r>
      <w:r w:rsidRPr="00B415AD">
        <w:rPr>
          <w:rFonts w:ascii="Times New Roman" w:hAnsi="Times New Roman" w:cs="Times New Roman"/>
          <w:i/>
          <w:iCs/>
        </w:rPr>
        <w:t>SVG</w:t>
      </w:r>
      <w:r w:rsidRPr="00B415AD">
        <w:rPr>
          <w:rFonts w:ascii="Times New Roman" w:hAnsi="Times New Roman" w:cs="Times New Roman"/>
        </w:rPr>
        <w:t>). На каждый рисунок должна иметься ссылка в тексте отчёта.</w:t>
      </w:r>
    </w:p>
    <w:p w14:paraId="2F180F7D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Деревом квадрантов называется структура данных, предназначенная для рекурсивного разбиения двумерного пространства по четыре области (рис. </w:t>
      </w:r>
      <w:r w:rsidRPr="00B415AD">
        <w:rPr>
          <w:rFonts w:ascii="Times New Roman" w:hAnsi="Times New Roman" w:cs="Times New Roman"/>
          <w:lang w:val="ru-RU"/>
        </w:rPr>
        <w:t>1.1</w:t>
      </w:r>
      <w:r w:rsidRPr="00B415AD">
        <w:rPr>
          <w:rFonts w:ascii="Times New Roman" w:hAnsi="Times New Roman" w:cs="Times New Roman"/>
        </w:rPr>
        <w:t>).</w:t>
      </w:r>
    </w:p>
    <w:p w14:paraId="4916FA89" w14:textId="77777777" w:rsidR="00351BF5" w:rsidRPr="00B415AD" w:rsidRDefault="00000000">
      <w:pPr>
        <w:pStyle w:val="ReportFigure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noProof/>
        </w:rPr>
        <w:drawing>
          <wp:inline distT="0" distB="0" distL="0" distR="0" wp14:anchorId="5E299B95" wp14:editId="7D42910C">
            <wp:extent cx="6149522" cy="2708269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522" cy="27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AD">
        <w:rPr>
          <w:rFonts w:ascii="Times New Roman" w:hAnsi="Times New Roman" w:cs="Times New Roman"/>
        </w:rPr>
        <w:t>Рисунок 1.1 – Реализация дерева квадрантов для хранения точек двумерного пространства. На иллюстрации одно и то же дерево представлено как в виде разбиения пространства, так и в виде древовидной структуры</w:t>
      </w:r>
    </w:p>
    <w:p w14:paraId="11964897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Формулы следует набирать в редакторе формул, например </w:t>
      </w:r>
      <w:r w:rsidR="004D3E58" w:rsidRPr="00B415AD">
        <w:rPr>
          <w:rFonts w:ascii="Times New Roman" w:hAnsi="Times New Roman" w:cs="Times New Roman"/>
          <w:noProof/>
        </w:rPr>
        <w:object w:dxaOrig="1721" w:dyaOrig="334" w14:anchorId="3D3FA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2" o:spid="_x0000_i1026" type="#_x0000_t75" alt="formula" style="width:85.8pt;height:16.85pt;visibility:visible;mso-wrap-style:square;mso-width-percent:0;mso-height-percent:0;mso-width-percent:0;mso-height-percent:0" o:ole="">
            <v:imagedata r:id="rId9" o:title="formula"/>
          </v:shape>
          <o:OLEObject Type="Embed" ProgID="Unknown" ShapeID="Object2" DrawAspect="Content" ObjectID="_1730883270" r:id="rId10"/>
        </w:object>
      </w:r>
      <w:r w:rsidRPr="00B415AD">
        <w:rPr>
          <w:rFonts w:ascii="Times New Roman" w:hAnsi="Times New Roman" w:cs="Times New Roman"/>
        </w:rPr>
        <w:t>. Если на формулу есть ссылка в тексте, она набирается по центру.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  <w:gridCol w:w="878"/>
      </w:tblGrid>
      <w:tr w:rsidR="00351BF5" w:rsidRPr="00B415AD" w14:paraId="7B79D66B" w14:textId="77777777">
        <w:tc>
          <w:tcPr>
            <w:tcW w:w="90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B9522" w14:textId="77777777" w:rsidR="00351BF5" w:rsidRPr="00B415AD" w:rsidRDefault="004D3E58">
            <w:pPr>
              <w:pStyle w:val="ReportFormula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  <w:noProof/>
              </w:rPr>
              <w:object w:dxaOrig="3804" w:dyaOrig="659" w14:anchorId="3DE5EFAD">
                <v:shape id="Object1" o:spid="_x0000_i1025" type="#_x0000_t75" alt="" style="width:189.95pt;height:32.95pt;visibility:visible;mso-wrap-style:square;mso-width-percent:0;mso-height-percent:0;mso-width-percent:0;mso-height-percent:0" o:ole="">
                  <v:imagedata r:id="rId9" o:title=""/>
                </v:shape>
                <o:OLEObject Type="Embed" ProgID="Unknown" ShapeID="Object1" DrawAspect="Content" ObjectID="_1730883271" r:id="rId11"/>
              </w:object>
            </w:r>
          </w:p>
        </w:tc>
        <w:tc>
          <w:tcPr>
            <w:tcW w:w="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50FBF" w14:textId="77777777" w:rsidR="00351BF5" w:rsidRPr="00B415AD" w:rsidRDefault="00000000">
            <w:pPr>
              <w:pStyle w:val="ReportTableContents"/>
              <w:jc w:val="center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(1.1)</w:t>
            </w:r>
          </w:p>
        </w:tc>
      </w:tr>
    </w:tbl>
    <w:p w14:paraId="0C23C461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Пример оформления таблиц приведён ниже.</w:t>
      </w:r>
    </w:p>
    <w:p w14:paraId="53317A4E" w14:textId="77777777" w:rsidR="00351BF5" w:rsidRPr="00B415AD" w:rsidRDefault="00000000">
      <w:pPr>
        <w:pStyle w:val="ReportTableCaption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Таблица 1.1 – Основные типы данных, определённые в стандарте MPI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1BF5" w:rsidRPr="00B415AD" w14:paraId="37308121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DD9A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Тип данных MPI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198F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Соответствующий тип данных C</w:t>
            </w:r>
          </w:p>
        </w:tc>
      </w:tr>
      <w:tr w:rsidR="00351BF5" w:rsidRPr="00B415AD" w14:paraId="64AECDE3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6A455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MPI_CHAR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B2672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char</w:t>
            </w:r>
          </w:p>
        </w:tc>
      </w:tr>
      <w:tr w:rsidR="00351BF5" w:rsidRPr="00B415AD" w14:paraId="2478ACC7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D5BA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MPI_SHORT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D581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short int</w:t>
            </w:r>
          </w:p>
        </w:tc>
      </w:tr>
      <w:tr w:rsidR="00351BF5" w:rsidRPr="00B415AD" w14:paraId="0C18A2AF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90BF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MPI_INT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CA2A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int</w:t>
            </w:r>
          </w:p>
        </w:tc>
      </w:tr>
      <w:tr w:rsidR="00351BF5" w:rsidRPr="00B415AD" w14:paraId="1CB8CFA9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5C80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MPI_LONG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76DB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long int</w:t>
            </w:r>
          </w:p>
        </w:tc>
      </w:tr>
      <w:tr w:rsidR="00351BF5" w:rsidRPr="00B415AD" w14:paraId="0B8A2DD4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597D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MPI_UNSIGNED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FB1C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unsigned int</w:t>
            </w:r>
          </w:p>
        </w:tc>
      </w:tr>
      <w:tr w:rsidR="00351BF5" w:rsidRPr="00B415AD" w14:paraId="10FC96FA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CA8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MPI_FLOAT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24C79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float</w:t>
            </w:r>
          </w:p>
        </w:tc>
      </w:tr>
      <w:tr w:rsidR="00351BF5" w:rsidRPr="00B415AD" w14:paraId="0A90205C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A034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MPI_DOUBLE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6CB40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56360F2F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72F16CE4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>1.2 Трансляционно-циклический обмен информацией в распределённых ВС</w:t>
      </w:r>
      <w:bookmarkEnd w:id="3"/>
    </w:p>
    <w:p w14:paraId="32EB5978" w14:textId="2817CB0E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Текст. </w:t>
      </w:r>
    </w:p>
    <w:p w14:paraId="09D42724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2AEE3BB0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1.3 Выводы</w:t>
      </w:r>
      <w:bookmarkEnd w:id="4"/>
    </w:p>
    <w:p w14:paraId="10749DD7" w14:textId="5904CC2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284E405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5C1F564A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5D0614E1" w:rsidR="00351BF5" w:rsidRPr="00B415AD" w:rsidRDefault="00000000" w:rsidP="00DE0084">
      <w:pPr>
        <w:pStyle w:val="ReportTex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t xml:space="preserve">Текст. </w:t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5C55121F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В результате выполнения работы разработан и исследован алгоритм </w:t>
      </w:r>
    </w:p>
    <w:p w14:paraId="7490A68F" w14:textId="46A5091A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разработанного алгоритма. Показано, что 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69720AA4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Bloom, Burton H.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77777777" w:rsidR="0031164A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</w:p>
    <w:p w14:paraId="40062F31" w14:textId="77777777" w:rsidR="00351BF5" w:rsidRPr="00B415AD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i/>
          <w:iCs/>
        </w:rPr>
        <w:t>Хорошевский В. Г.</w:t>
      </w:r>
      <w:r w:rsidRPr="00B415AD">
        <w:rPr>
          <w:rFonts w:ascii="Times New Roman" w:hAnsi="Times New Roman" w:cs="Times New Roman"/>
        </w:rPr>
        <w:t xml:space="preserve"> Архитектура вычислительных систем: Учеб. Пособие – 2</w:t>
      </w:r>
      <w:r w:rsidRPr="00B415AD">
        <w:rPr>
          <w:rFonts w:ascii="Times New Roman" w:hAnsi="Times New Roman" w:cs="Times New Roman"/>
        </w:rPr>
        <w:noBreakHyphen/>
        <w:t>е изд., перераб. и доп. – М.: Изд-во МГТУ им. Н. Э. Баумана, 2008. – 520 с.</w:t>
      </w:r>
    </w:p>
    <w:p w14:paraId="484D343B" w14:textId="77777777" w:rsidR="00351BF5" w:rsidRPr="00B415AD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i/>
          <w:iCs/>
        </w:rPr>
        <w:t>Legrand A. et al.</w:t>
      </w:r>
      <w:r w:rsidRPr="00B415AD">
        <w:rPr>
          <w:rFonts w:ascii="Times New Roman" w:hAnsi="Times New Roman" w:cs="Times New Roman"/>
        </w:rPr>
        <w:t xml:space="preserve"> Mapping and load-balancing iterative computations // IEEE Transactions on Parallel and Distributed Systems. – 2004. – Т. 15. – №. 6. – С. 546-558.</w:t>
      </w:r>
    </w:p>
    <w:p w14:paraId="54D99592" w14:textId="77777777" w:rsidR="00351BF5" w:rsidRPr="00B415AD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i/>
          <w:iCs/>
        </w:rPr>
        <w:t>Евреинов Э. В., Хорошевский В. Г., Пашкеев С. Д.</w:t>
      </w:r>
      <w:r w:rsidRPr="00B415AD">
        <w:rPr>
          <w:rFonts w:ascii="Times New Roman" w:hAnsi="Times New Roman" w:cs="Times New Roman"/>
        </w:rPr>
        <w:t xml:space="preserve"> Однородные вычислительные системы. – Наука, Сиб. Отд-ние, 1978.</w:t>
      </w:r>
    </w:p>
    <w:p w14:paraId="3A4BEF96" w14:textId="77777777" w:rsidR="00351BF5" w:rsidRPr="00B415AD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i/>
          <w:iCs/>
        </w:rPr>
        <w:t>Rabenseifner R.</w:t>
      </w:r>
      <w:r w:rsidRPr="00B415AD">
        <w:rPr>
          <w:rFonts w:ascii="Times New Roman" w:hAnsi="Times New Roman" w:cs="Times New Roman"/>
        </w:rPr>
        <w:t xml:space="preserve"> Automatic MPI counter profiling // 42nd CUG conference. – 2000. – С. 396-405.</w:t>
      </w:r>
    </w:p>
    <w:p w14:paraId="0E331667" w14:textId="77777777" w:rsidR="00351BF5" w:rsidRPr="00B415AD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i/>
          <w:iCs/>
        </w:rPr>
        <w:t>Bruck J. et al.</w:t>
      </w:r>
      <w:r w:rsidRPr="00B415AD">
        <w:rPr>
          <w:rFonts w:ascii="Times New Roman" w:hAnsi="Times New Roman" w:cs="Times New Roman"/>
        </w:rPr>
        <w:t xml:space="preserve"> Efficient algorithms for all-to-all communications in multiport message-passing systems // IEEE Transactions on parallel and distributed systems. – 1997. – Т. 8. – №. 11. – С. 1143-1156.</w:t>
      </w:r>
    </w:p>
    <w:p w14:paraId="58EF16C7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72345EE6" w14:textId="51DC3017" w:rsidR="00351BF5" w:rsidRPr="00B415AD" w:rsidRDefault="00000000" w:rsidP="0031164A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72DCFE8" w14:textId="77777777" w:rsidR="00083D51" w:rsidRPr="00B415AD" w:rsidRDefault="00083D51" w:rsidP="0031164A">
      <w:pPr>
        <w:pStyle w:val="ReportSubsection"/>
        <w:rPr>
          <w:rFonts w:ascii="Times New Roman" w:hAnsi="Times New Roman" w:cs="Times New Roman"/>
        </w:rPr>
      </w:pPr>
    </w:p>
    <w:p w14:paraId="29D3B13D" w14:textId="05F5BBA5" w:rsidR="0031164A" w:rsidRPr="00B415AD" w:rsidRDefault="0031164A" w:rsidP="0031164A">
      <w:pPr>
        <w:pStyle w:val="ReportSubsection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B415AD">
        <w:rPr>
          <w:rFonts w:ascii="Times New Roman" w:hAnsi="Times New Roman" w:cs="Times New Roman"/>
          <w:lang w:val="en-US"/>
        </w:rPr>
        <w:t>“</w:t>
      </w:r>
      <w:proofErr w:type="spellStart"/>
      <w:r w:rsidR="00083D51" w:rsidRPr="00B415AD">
        <w:rPr>
          <w:rFonts w:ascii="Times New Roman" w:hAnsi="Times New Roman" w:cs="Times New Roman"/>
          <w:lang w:val="en-US"/>
        </w:rPr>
        <w:t>main.c</w:t>
      </w:r>
      <w:proofErr w:type="spellEnd"/>
      <w:r w:rsidR="00083D51" w:rsidRPr="00B415AD">
        <w:rPr>
          <w:rFonts w:ascii="Times New Roman" w:hAnsi="Times New Roman" w:cs="Times New Roman"/>
          <w:lang w:val="en-US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5234"/>
      </w:tblGrid>
      <w:tr w:rsidR="00B415AD" w:rsidRPr="00B415AD" w14:paraId="4DE44C4D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8223FE" w14:textId="4D01FC7F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05ABC03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2</w:t>
            </w:r>
          </w:p>
          <w:p w14:paraId="28F991B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3</w:t>
            </w:r>
          </w:p>
          <w:p w14:paraId="0956DE0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4</w:t>
            </w:r>
          </w:p>
          <w:p w14:paraId="648FE11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5</w:t>
            </w:r>
          </w:p>
          <w:p w14:paraId="7EBB44E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6</w:t>
            </w:r>
          </w:p>
          <w:p w14:paraId="714F8DC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7</w:t>
            </w:r>
          </w:p>
          <w:p w14:paraId="13FE5A1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8</w:t>
            </w:r>
          </w:p>
          <w:p w14:paraId="1FD20B2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9</w:t>
            </w:r>
          </w:p>
          <w:p w14:paraId="5801B9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10</w:t>
            </w:r>
          </w:p>
          <w:p w14:paraId="553136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11</w:t>
            </w:r>
          </w:p>
          <w:p w14:paraId="5C10F0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12</w:t>
            </w:r>
          </w:p>
          <w:p w14:paraId="10F2D28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13</w:t>
            </w:r>
          </w:p>
          <w:p w14:paraId="4E822C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14</w:t>
            </w:r>
          </w:p>
          <w:p w14:paraId="72FD861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15</w:t>
            </w:r>
          </w:p>
          <w:p w14:paraId="030D32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16</w:t>
            </w:r>
          </w:p>
          <w:p w14:paraId="2C68D9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17</w:t>
            </w:r>
          </w:p>
          <w:p w14:paraId="4D750CD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18</w:t>
            </w:r>
          </w:p>
          <w:p w14:paraId="1E7B3A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19</w:t>
            </w:r>
          </w:p>
          <w:p w14:paraId="787D2DA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4D598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"bloom.h"</w:t>
            </w:r>
          </w:p>
          <w:p w14:paraId="336F6AD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 xml:space="preserve">#define N 10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2"/>
                <w:szCs w:val="22"/>
              </w:rPr>
              <w:t>// number of elements</w:t>
            </w:r>
          </w:p>
          <w:p w14:paraId="54620D1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509C655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main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() {</w:t>
            </w:r>
          </w:p>
          <w:p w14:paraId="1AE9D4B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f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bloom_init(N);</w:t>
            </w:r>
          </w:p>
          <w:p w14:paraId="1791425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 {</w:t>
            </w:r>
          </w:p>
          <w:p w14:paraId="3AAB251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"apple"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52BA34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"coconut"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4C7B04D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"aubergine"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267620A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"pomegranate"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1CD03B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"pineapple"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7B888A1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"grapes"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4026DC0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"orange"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2DD448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"banana"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43E73F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"potato"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198425B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"cucumber"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7DA806A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}</w:t>
            </w:r>
          </w:p>
          <w:p w14:paraId="3214AD8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bloom_lookup(f,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"tomato"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5E51108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;</w:t>
            </w:r>
          </w:p>
          <w:p w14:paraId="66F486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}</w:t>
            </w:r>
          </w:p>
        </w:tc>
      </w:tr>
    </w:tbl>
    <w:p w14:paraId="614D53CC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985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526"/>
      </w:tblGrid>
      <w:tr w:rsidR="00B415AD" w:rsidRPr="00B415AD" w14:paraId="603A3C4B" w14:textId="77777777" w:rsidTr="00B415AD">
        <w:trPr>
          <w:trHeight w:val="6763"/>
          <w:tblCellSpacing w:w="15" w:type="dxa"/>
          <w:jc w:val="center"/>
        </w:trPr>
        <w:tc>
          <w:tcPr>
            <w:tcW w:w="60" w:type="dxa"/>
            <w:vAlign w:val="center"/>
            <w:hideMark/>
          </w:tcPr>
          <w:p w14:paraId="7C326F69" w14:textId="591F84C5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35E8F83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4586631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4F953E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2B8315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5EDB50B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1EB5730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20B6E0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7B88ADC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457F7D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4706A7D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5613B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5E30613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010D63E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9BF4DB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3B1659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636BC3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3831FC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0C0265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68CFF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2ED3A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317B9C1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6E1F1A8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3A4AA6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5CDDCD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44236CC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E1188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19C5E0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06D09C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0C06E4F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7F8ACD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31</w:t>
            </w:r>
          </w:p>
          <w:p w14:paraId="0B098ED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08B91D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40A1301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02BF0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75645B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2622B9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1D4238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1077692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5008A11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7619504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442A0BA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1C0E381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6889F7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0FD6EEB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439078C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18777BF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3ADC43C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2F20B2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146D0C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36790A3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5C89C11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2BC1526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32839C2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7E0A50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6CBA1BE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3ACE8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21379CD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6D879F0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06ED4DC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58CD8A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04B48C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4334E14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5EB31D7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187EFCD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5AB6489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1E0C11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5017186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21108A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129965F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21EA379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316424F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  <w:p w14:paraId="69EA7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73</w:t>
            </w:r>
          </w:p>
          <w:p w14:paraId="61F7DD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74</w:t>
            </w:r>
          </w:p>
          <w:p w14:paraId="7D0862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5B1C71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502FF11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"bits.h"</w:t>
            </w:r>
          </w:p>
          <w:p w14:paraId="5A418FA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&lt;math.h&gt;</w:t>
            </w:r>
          </w:p>
          <w:p w14:paraId="203089E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&lt;stdio.h&gt;</w:t>
            </w:r>
          </w:p>
          <w:p w14:paraId="012832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&lt;stdlib.h&gt;</w:t>
            </w:r>
          </w:p>
          <w:p w14:paraId="7E35674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1C9460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 xml:space="preserve">#define BITS_FOR_TYPE 8.0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for uint8_t</w:t>
            </w:r>
          </w:p>
          <w:p w14:paraId="0190310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#define FNV_32_PRIME 16777619</w:t>
            </w:r>
          </w:p>
          <w:p w14:paraId="13B542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 xml:space="preserve">#define FALSEPOSITIVE_PROBABILITY 0.005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0.5%</w:t>
            </w:r>
          </w:p>
          <w:p w14:paraId="2BBDEB6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FFD9D5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bloom_prefix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"[bloom filter]"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2F88C6B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D3B2E1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bloom_FNVHash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key,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fnv-1a</w:t>
            </w:r>
          </w:p>
          <w:p w14:paraId="5264B4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C5BA6E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2166136261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for different hash functions</w:t>
            </w:r>
          </w:p>
          <w:p w14:paraId="631DF39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while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key) {</w:t>
            </w:r>
          </w:p>
          <w:p w14:paraId="0F16801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^=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key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D3B8C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FNV_32_PRIME;</w:t>
            </w:r>
          </w:p>
          <w:p w14:paraId="208EB36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85A2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2AB8F7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50176A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4315B86" w14:textId="15A96AF0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bloom_optimalFilterSize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 - number of elements</w:t>
            </w:r>
          </w:p>
          <w:p w14:paraId="24911DBD" w14:textId="7560C60C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p - probability of false positive</w:t>
            </w:r>
          </w:p>
          <w:p w14:paraId="6E2EB1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n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log(p))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(log(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log(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105A882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C26384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149DC26" w14:textId="68E44760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bloom_optimalHashNumber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</w:t>
            </w:r>
          </w:p>
          <w:p w14:paraId="698F8E6B" w14:textId="322B6F1D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n - number of</w:t>
            </w:r>
            <w:r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elements</w:t>
            </w:r>
            <w:r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:lang w:val="en-US"/>
              </w:rPr>
              <w:t>,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 xml:space="preserve"> m - filter size</w:t>
            </w:r>
          </w:p>
          <w:p w14:paraId="43579F4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m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n)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log(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13870D3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3F11B7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5B81F9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bloom_init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n)</w:t>
            </w:r>
          </w:p>
          <w:p w14:paraId="23A058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968F65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n (elements) = %d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n);</w:t>
            </w:r>
          </w:p>
          <w:p w14:paraId="2ABE419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malloc(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sizeof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5FE61DB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NULL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A0F88C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malloc *f - success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60FEAE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5749D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m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bloom_optimalFilterSize(n, FALSEPOSITIVE_PROBABILITY);</w:t>
            </w:r>
          </w:p>
          <w:p w14:paraId="05D0BE0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m (optimal filter size) = %d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m);</w:t>
            </w:r>
          </w:p>
          <w:p w14:paraId="3417BCE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m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BITS_FOR_TYPE);</w:t>
            </w:r>
          </w:p>
          <w:p w14:paraId="0DB6F5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malloc(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sizeof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arraySize);</w:t>
            </w:r>
          </w:p>
          <w:p w14:paraId="3EEFA5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NULL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0AAE4DD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malloc f-&gt;bits - success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5BEC04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087A1C5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F9EABA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52CAC7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6DE045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bloom_optimalHashNumber(n,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m);</w:t>
            </w:r>
          </w:p>
          <w:p w14:paraId="4FD3CF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k (optimal hash functions number) = %d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k);</w:t>
            </w:r>
          </w:p>
          <w:p w14:paraId="0BCFDD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4065C5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B5096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DA350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bloom_lookup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s)</w:t>
            </w:r>
          </w:p>
          <w:p w14:paraId="7D591A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6C2D8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771C607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(get_bit(f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bits, bloom_FNVHash(s, i)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m)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6AEE60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'%s' is not in filter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4EBB074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7813619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1A93070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580EA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'%s' is probably in filter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DABB7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FA48DD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6E2752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B44EC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bloom_insert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s)</w:t>
            </w:r>
          </w:p>
          <w:p w14:paraId="283EEF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170247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bloom_lookup(f, s)){</w:t>
            </w:r>
          </w:p>
          <w:p w14:paraId="1634810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77463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bits, bloom_FNVHash(s, i)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m);</w:t>
            </w:r>
          </w:p>
          <w:p w14:paraId="5B2D90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7E1A4CF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successfully inserted '%s'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520776C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03654C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415AD" w:rsidRPr="00B415AD" w14:paraId="35E3BBA4" w14:textId="77777777" w:rsidTr="00B415AD">
        <w:trPr>
          <w:trHeight w:val="52"/>
          <w:tblCellSpacing w:w="15" w:type="dxa"/>
          <w:jc w:val="center"/>
        </w:trPr>
        <w:tc>
          <w:tcPr>
            <w:tcW w:w="60" w:type="dxa"/>
            <w:vAlign w:val="center"/>
          </w:tcPr>
          <w:p w14:paraId="0ECE14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E6A8B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</w:pP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8007"/>
      </w:tblGrid>
      <w:tr w:rsidR="00B415AD" w:rsidRPr="00B415AD" w14:paraId="7AC806FF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35633A" w14:textId="13E16B58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162C809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2</w:t>
            </w:r>
          </w:p>
          <w:p w14:paraId="444CDBA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3</w:t>
            </w:r>
          </w:p>
          <w:p w14:paraId="53931FC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4</w:t>
            </w:r>
          </w:p>
          <w:p w14:paraId="4E37298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lastRenderedPageBreak/>
              <w:t xml:space="preserve"> 5</w:t>
            </w:r>
          </w:p>
          <w:p w14:paraId="353FF84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6</w:t>
            </w:r>
          </w:p>
          <w:p w14:paraId="7224A16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7</w:t>
            </w:r>
          </w:p>
          <w:p w14:paraId="0250853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8</w:t>
            </w:r>
          </w:p>
          <w:p w14:paraId="661393F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9</w:t>
            </w:r>
          </w:p>
          <w:p w14:paraId="1820C77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10</w:t>
            </w:r>
          </w:p>
          <w:p w14:paraId="3C913BC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11</w:t>
            </w:r>
          </w:p>
          <w:p w14:paraId="2AAF44C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12</w:t>
            </w:r>
          </w:p>
          <w:p w14:paraId="20EEF1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13</w:t>
            </w:r>
          </w:p>
          <w:p w14:paraId="09A4EFC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14</w:t>
            </w:r>
          </w:p>
          <w:p w14:paraId="178F840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15</w:t>
            </w:r>
          </w:p>
          <w:p w14:paraId="77C7E4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A9A5B7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lastRenderedPageBreak/>
              <w:t>#pragma once</w:t>
            </w:r>
          </w:p>
          <w:p w14:paraId="1EB3A49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6CBE36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583170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7BA97D1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lastRenderedPageBreak/>
              <w:t>typedef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struct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{</w:t>
            </w:r>
          </w:p>
          <w:p w14:paraId="30308FC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bits;</w:t>
            </w:r>
          </w:p>
          <w:p w14:paraId="5209B15E" w14:textId="4B56E3AF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m;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en-US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2"/>
                <w:szCs w:val="22"/>
              </w:rPr>
              <w:t>// filter size</w:t>
            </w:r>
          </w:p>
          <w:p w14:paraId="58E653B1" w14:textId="17CB2578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k;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en-US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2"/>
                <w:szCs w:val="22"/>
              </w:rPr>
              <w:t>// number of hash functions</w:t>
            </w:r>
          </w:p>
          <w:p w14:paraId="1725806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} BloomFilter;</w:t>
            </w:r>
          </w:p>
          <w:p w14:paraId="14BB8D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7A2C01F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bloom_FNVHash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key,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i);</w:t>
            </w:r>
          </w:p>
          <w:p w14:paraId="0554CD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bloom_optimalFilterSize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p);</w:t>
            </w:r>
          </w:p>
          <w:p w14:paraId="214B68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bloom_optimalHashNumber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m);</w:t>
            </w:r>
          </w:p>
          <w:p w14:paraId="64E2BB7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bloom_init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n);</w:t>
            </w:r>
          </w:p>
          <w:p w14:paraId="693FC0A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bloom_lookup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s);</w:t>
            </w:r>
          </w:p>
          <w:p w14:paraId="4DCE34A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bloom_insert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s);</w:t>
            </w:r>
          </w:p>
        </w:tc>
      </w:tr>
    </w:tbl>
    <w:p w14:paraId="1914E685" w14:textId="77777777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en-US"/>
        </w:rPr>
      </w:pPr>
    </w:p>
    <w:sectPr w:rsidR="00083D51" w:rsidRPr="00B415AD">
      <w:footerReference w:type="default" r:id="rId12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D910" w14:textId="77777777" w:rsidR="004D3E58" w:rsidRDefault="004D3E58">
      <w:r>
        <w:separator/>
      </w:r>
    </w:p>
  </w:endnote>
  <w:endnote w:type="continuationSeparator" w:id="0">
    <w:p w14:paraId="04865060" w14:textId="77777777" w:rsidR="004D3E58" w:rsidRDefault="004D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DA19" w14:textId="77777777" w:rsidR="004D3E58" w:rsidRDefault="004D3E58">
      <w:r>
        <w:rPr>
          <w:color w:val="000000"/>
        </w:rPr>
        <w:separator/>
      </w:r>
    </w:p>
  </w:footnote>
  <w:footnote w:type="continuationSeparator" w:id="0">
    <w:p w14:paraId="30C7B9ED" w14:textId="77777777" w:rsidR="004D3E58" w:rsidRDefault="004D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83D51"/>
    <w:rsid w:val="0031164A"/>
    <w:rsid w:val="00351BF5"/>
    <w:rsid w:val="00411AD7"/>
    <w:rsid w:val="004D3E58"/>
    <w:rsid w:val="00AA3740"/>
    <w:rsid w:val="00B415AD"/>
    <w:rsid w:val="00DE0084"/>
    <w:rsid w:val="00DE4FF2"/>
    <w:rsid w:val="00E53B2F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semiHidden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AD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4</cp:revision>
  <dcterms:created xsi:type="dcterms:W3CDTF">2018-11-14T09:47:00Z</dcterms:created>
  <dcterms:modified xsi:type="dcterms:W3CDTF">2022-11-25T05:08:00Z</dcterms:modified>
</cp:coreProperties>
</file>