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7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 расчётно-графическому заданию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75"/>
        </w:tabs>
        <w:spacing w:before="54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44"/>
        </w:tabs>
        <w:spacing w:after="1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  <w:sz w:val="28"/>
          <w:szCs w:val="28"/>
        </w:rPr>
      </w:pPr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network, доступ в сеть интернет сконфигурирован для маршрутизаторов mt-01 и mt-03 через сеть NAT в VirtualBox. Во всех сетевых устройствах (кроме hostмашины) интерфейс ether4 должен быть использован как management интерфейс (схема подключения – NAT), остальные интерфейсы используются для передачи данных (далее они будут называться «рабочими»).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00120" cy="4928587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9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Задайте уникальные сетевые имена всем сетевым устройствам (допускается хост машине не назначать сетевое имя). На management интерфейсах настройте проброс портов (DNAT) с локального интерфейса host-машины до web интерфейса маршрутизатора и до ssh на виртуальных машинах AstraLinux (доступ по ssh должен осуществляться по открытому ключу).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Объедините все рабочие порты коммутаторов в сетевые мосты. Настройте работу протокола STP. Покажите в каком состоянии оказались порты маршрутизаторов и объясните почему. Измените настройки протокола STP так, чтобы корневым коммутатором был mt-02, а mt-04 был резервным.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Вам выделен диапазон IPv4 адресов 10.10.N.0/24, где N – 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 4. На каждом из этих маршрутизаторов настройте dhcp-client так, чтобы автоматически конфигурировались соответствующие интерфейсы и все эти маршрутизаторы получили доступ в сеть Интернет (интерфейс маршрутизатора mt-02 в сети vboxnet2 пока в эту VLAN не включается). Определите какие адреса назначены на маршрутизаторах.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На маршрутизаторе mt-01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На всех машрутизаторах настройте протокол динамической маршрутизации OSPF или RIP (тип используемого протокола назначается преподавателем).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IPv6адресов назначьте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12. Настройте машрутизацию для IPv6 таким образом, чтобы пинговались виртуальные машина и host-машина.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проверьте настройки DNS клиента. Убедитесь, что запросы по умолчанию передаются на DNS с адресом 8.8.8.8.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14. Используя консольные утилиты с узла astra2 найдите всю возможную информацию о DNS-зоне csc.sibsutis.ru, IPv4 имени ans.csc.sibsutis.ru, IPv4 адрес домена mail.ru и обо всех IP адресах, найденных для домена mail.ru.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0">
      <w:pPr>
        <w:jc w:val="both"/>
        <w:rPr/>
      </w:pPr>
      <w:bookmarkStart w:colFirst="0" w:colLast="0" w:name="_heading=h.scykxr5anp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bookmarkStart w:colFirst="0" w:colLast="0" w:name="_heading=h.84yca0h4qel3" w:id="3"/>
      <w:bookmarkEnd w:id="3"/>
      <w:r w:rsidDel="00000000" w:rsidR="00000000" w:rsidRPr="00000000">
        <w:rPr>
          <w:rtl w:val="0"/>
        </w:rPr>
        <w:t xml:space="preserve">1. Собрана конфигурация в соответствии с заданием.</w:t>
      </w:r>
    </w:p>
    <w:p w:rsidR="00000000" w:rsidDel="00000000" w:rsidP="00000000" w:rsidRDefault="00000000" w:rsidRPr="00000000" w14:paraId="00000082">
      <w:pPr>
        <w:jc w:val="both"/>
        <w:rPr/>
      </w:pPr>
      <w:bookmarkStart w:colFirst="0" w:colLast="0" w:name="_heading=h.bakdo3857b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Всем сетевым устройствам кроме хост-машины заданы уникальные сетевые имена, настроен проброс портов до веб-интерфейса маршрутизаторов через NAT-интерфейс (порт роутеров - 80, порты хоста - 30001, 30002, 30003…), до ssh на виртуальных машинах astralinux (порт astralinux машин - 22, порты хоста - 30022, 30023).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Пример проброса портов на маршрутизаторе mt-01: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477828" cy="909876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90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Демонстрация доступа ко всем WebFig маршрутизаторов через management-interface: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64755"/>
            <wp:effectExtent b="0" l="0" r="0" t="0"/>
            <wp:docPr id="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583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Все рабочие порты коммутаторов были объединены в сетевые мосты, включён протокол STP. Демонстрация примера сетевого моста на маршрутизаторе mt-01: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782253" cy="77801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77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82228" cy="79029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79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2801303" cy="269216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26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Порты оказались в следующих состояниях и ролях (номер порта соответствует номеру интерфейса Ethernet-интерфейса: ether1 =&gt; Port Number = 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1810703" cy="50926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03" cy="50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15453" cy="52175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5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01153" cy="521724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3" cy="52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1753553" cy="533690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53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4504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4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86864" cy="54260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864" cy="54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1934528" cy="54351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54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67853" cy="506989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50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2774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2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581025"/>
            <wp:effectExtent b="0" l="0" r="0" t="0"/>
            <wp:docPr id="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96428" cy="555052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428" cy="555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Состояния сетевых мостов на маршрутизаторах: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mt-01</w:t>
        <w:tab/>
        <w:tab/>
        <w:tab/>
        <w:tab/>
        <w:tab/>
        <w:tab/>
        <w:t xml:space="preserve">mt-02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534603" cy="1192754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603" cy="119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96528" cy="123528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123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mt-03</w:t>
        <w:tab/>
        <w:tab/>
        <w:tab/>
        <w:tab/>
        <w:tab/>
        <w:tab/>
        <w:t xml:space="preserve">mt-04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2699407" cy="125222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407" cy="125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72408" cy="125661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408" cy="12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Изменим настройки протокола STP так, чтобы корневым коммутатором был mt-02, а mt-04 был резервным: уменьшим приоритет bridge1 в поле Priority на mt-02 до 7000 (стандартный - 8000), а на mt-04 - до 7500. Теперь bridge1 на mt-02 является корневым, а bridge1 на mt-04 станет таковым, если корневой выйдет из строя или отключится.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     mt-02</w:t>
        <w:tab/>
        <w:tab/>
        <w:tab/>
        <w:tab/>
        <w:tab/>
        <w:tab/>
        <w:t xml:space="preserve">    mt-04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2744153" cy="57584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53" cy="57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948229" cy="51493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229" cy="51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816985" cy="2178189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985" cy="217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781300" cy="21774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2696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4. Выделенный диапазон 10.10.3.0/24 разделим на максимально возможное количество подсетей так, чтобы каждая подсеть могла адресовать до 6 узлов. Для этого необходимо выделить последние 3 бита четвёртого октета адреса IPv4, маска подсети соответственно будет составлять 29 битов. Полученные подсети можно увидеть на таблице ниже.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175320</wp:posOffset>
            </wp:positionV>
            <wp:extent cx="3048953" cy="5155193"/>
            <wp:effectExtent b="0" l="0" r="0" t="0"/>
            <wp:wrapSquare wrapText="bothSides" distB="114300" distT="114300" distL="114300" distR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5155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Выберем первый из полученных диапазонов (10.10.3.1-10.10.3.6). На маршрутизаторах меню IP -&gt; Addresses назначим нужные адреса на нужные сетевые мосты, на машинах astralinux зададим статические IP-адреса в файле /etc/network/interfaces.d/eth0.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191703" cy="5269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52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325053" cy="552406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55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334578" cy="558983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578" cy="55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353628" cy="553309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628" cy="553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239703" cy="970994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97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277803" cy="948715"/>
            <wp:effectExtent b="0" l="0" r="0" t="0"/>
            <wp:docPr id="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94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Убедимся, что между всеми указанными сетевыми устройствами есть связь: проведём ping между всеми узлами и покажем некоторые такие попытки для наглядности.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astra2 -&gt; все устройства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172778" cy="3692131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778" cy="369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mt-03 -&gt; все устройства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4428" cy="2444436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28" cy="24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1172" cy="1591628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172" cy="159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создадим VLAN с ID 2, которая будет использоваться для доступа в сеть NAT.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Настроим сеть NAT в VirtualBox так, чтобы в ней функционировал DHCP, раздающий IPv4 адреса из второго диапазона подсетей (10.10.3.8-10.10.3.15). На каждом из маршрутизаторов настроим dhcp-client так, чтобы автоматически конфигурировались соответствующие интерфейсы и маршрутизаторы получили доступ в сеть Интернет (интерфейс маршрутизатора mt-02 в сети vboxnet2 пока в эту VLAN не включается).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2677478" cy="192299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478" cy="192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Определим, какие адреса назначены на маршрутизаторах: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6. На всех маршрутизаторах создадим VLAN с ID 3, которая будет использоваться для доступа в сеть vboxnet4.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Для адресации узлов в этой сети используем третий диапазон из IPv4 адресов, полученных в пункте 4.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Назначим адреса всем сетевым устройствам сети (маршрутизаторам, виртуальным машинам, хост-машине). Проверим, какие интерфейсы пингуются между собой: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7. На маршрутизаторе mt-01 настроим правила трансляции адресов таким образом, чтобы предоставить виртуальной машине astra1 доступ в интернет из untagged сети.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Изменим конфигурацию mt-02 таким образом, чтобы обеспечить доступ к тегированной VLAN с номером 2 через интерфейс в сети vboxnet2.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На виртуальной машине astra2 настроим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8. На всех маршрутизаторах настроим протокол динамической маршрутизации OSPF или RIP.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9. Выделен диапазон IPv6 адресов FD00:2003:4::/48. На маршрутизаторе mt-03 создадим DHCP-сервер для распределения префиксов IPv6 из выделенного диапазона: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 адресов назначим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12. Настроим маршрутизацию для IPv6 таким образом, чтобы пинговались виртуальные машины и host-машина.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проверим настройки DNS клиента. Убедимся, что запросы по умолчанию передаются на DNS с адресом 8.8.8.8.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14. Используя консольные утилиты с узла astra2, найдём информацию о DNS-зоне csc.sibsutis.ru, IPv4 имени ans.csc.sibsutis.ru, IPv4 адрес домена mail.ru и обо всех IP адресах, найденных для домена mail.ru.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Все задания расчётно-графической работы выполнены успешно.</w:t>
      </w:r>
    </w:p>
    <w:sectPr>
      <w:footerReference r:id="rId43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R2" w:customStyle="1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cs="Courier New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28.png"/><Relationship Id="rId42" Type="http://schemas.openxmlformats.org/officeDocument/2006/relationships/image" Target="media/image7.png"/><Relationship Id="rId41" Type="http://schemas.openxmlformats.org/officeDocument/2006/relationships/image" Target="media/image31.png"/><Relationship Id="rId22" Type="http://schemas.openxmlformats.org/officeDocument/2006/relationships/image" Target="media/image36.png"/><Relationship Id="rId21" Type="http://schemas.openxmlformats.org/officeDocument/2006/relationships/image" Target="media/image8.png"/><Relationship Id="rId43" Type="http://schemas.openxmlformats.org/officeDocument/2006/relationships/footer" Target="footer1.xml"/><Relationship Id="rId24" Type="http://schemas.openxmlformats.org/officeDocument/2006/relationships/image" Target="media/image2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17.png"/><Relationship Id="rId25" Type="http://schemas.openxmlformats.org/officeDocument/2006/relationships/image" Target="media/image9.png"/><Relationship Id="rId28" Type="http://schemas.openxmlformats.org/officeDocument/2006/relationships/image" Target="media/image12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22.png"/><Relationship Id="rId8" Type="http://schemas.openxmlformats.org/officeDocument/2006/relationships/image" Target="media/image5.png"/><Relationship Id="rId31" Type="http://schemas.openxmlformats.org/officeDocument/2006/relationships/image" Target="media/image2.png"/><Relationship Id="rId30" Type="http://schemas.openxmlformats.org/officeDocument/2006/relationships/image" Target="media/image13.png"/><Relationship Id="rId11" Type="http://schemas.openxmlformats.org/officeDocument/2006/relationships/image" Target="media/image27.png"/><Relationship Id="rId33" Type="http://schemas.openxmlformats.org/officeDocument/2006/relationships/image" Target="media/image35.png"/><Relationship Id="rId10" Type="http://schemas.openxmlformats.org/officeDocument/2006/relationships/image" Target="media/image3.png"/><Relationship Id="rId32" Type="http://schemas.openxmlformats.org/officeDocument/2006/relationships/image" Target="media/image11.png"/><Relationship Id="rId13" Type="http://schemas.openxmlformats.org/officeDocument/2006/relationships/image" Target="media/image4.png"/><Relationship Id="rId35" Type="http://schemas.openxmlformats.org/officeDocument/2006/relationships/image" Target="media/image26.png"/><Relationship Id="rId12" Type="http://schemas.openxmlformats.org/officeDocument/2006/relationships/image" Target="media/image15.png"/><Relationship Id="rId34" Type="http://schemas.openxmlformats.org/officeDocument/2006/relationships/image" Target="media/image19.png"/><Relationship Id="rId15" Type="http://schemas.openxmlformats.org/officeDocument/2006/relationships/image" Target="media/image16.png"/><Relationship Id="rId37" Type="http://schemas.openxmlformats.org/officeDocument/2006/relationships/image" Target="media/image25.png"/><Relationship Id="rId14" Type="http://schemas.openxmlformats.org/officeDocument/2006/relationships/image" Target="media/image6.png"/><Relationship Id="rId36" Type="http://schemas.openxmlformats.org/officeDocument/2006/relationships/image" Target="media/image34.png"/><Relationship Id="rId17" Type="http://schemas.openxmlformats.org/officeDocument/2006/relationships/image" Target="media/image10.png"/><Relationship Id="rId39" Type="http://schemas.openxmlformats.org/officeDocument/2006/relationships/image" Target="media/image24.png"/><Relationship Id="rId16" Type="http://schemas.openxmlformats.org/officeDocument/2006/relationships/image" Target="media/image23.png"/><Relationship Id="rId38" Type="http://schemas.openxmlformats.org/officeDocument/2006/relationships/image" Target="media/image29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kZ4UaGxOEQCETz+Xu3hdNhK1Ig==">AMUW2mVulLgG7C3i5vBFB3YVHVGUnMg7wIOgv3ENdKM++MqWaRmSUoRAJl42zruMlEKIM8vdGVk3PPxB/3s9WpAM49x9qIt35k0g5P98vXbgJiKT1tn/z/LaWbOFuBWre+t61K3w5LGPLl2hJ/07e3rDm9brEoBqrsdh16UC2tLA0lSD+ZqPtlkCM3b8xTV/9XOqUcQXWtBX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