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E3" w:rsidRPr="00A65B05" w:rsidRDefault="00A65B05">
      <w:pPr>
        <w:rPr>
          <w:b/>
        </w:rPr>
      </w:pPr>
      <w:r w:rsidRPr="00A65B05">
        <w:rPr>
          <w:b/>
        </w:rPr>
        <w:t>Yao and Lin 2017 – The mutual causality analysis between the stock and futures markets</w:t>
      </w:r>
    </w:p>
    <w:p w:rsidR="00A65B05" w:rsidRDefault="00A65B05" w:rsidP="00A65B05">
      <w:pPr>
        <w:pStyle w:val="ListParagraph"/>
        <w:numPr>
          <w:ilvl w:val="0"/>
          <w:numId w:val="1"/>
        </w:numPr>
      </w:pPr>
      <w:r w:rsidRPr="002B5C30">
        <w:rPr>
          <w:b/>
        </w:rPr>
        <w:t>RQ</w:t>
      </w:r>
      <w:r w:rsidR="002B5C30">
        <w:t xml:space="preserve">: Which way does information flow between Chinese stock and futures markets </w:t>
      </w:r>
    </w:p>
    <w:p w:rsidR="002B5C30" w:rsidRDefault="00A65B05" w:rsidP="002B5C30">
      <w:pPr>
        <w:pStyle w:val="ListParagraph"/>
        <w:numPr>
          <w:ilvl w:val="0"/>
          <w:numId w:val="1"/>
        </w:numPr>
      </w:pPr>
      <w:r w:rsidRPr="002B5C30">
        <w:rPr>
          <w:b/>
        </w:rPr>
        <w:t>Data</w:t>
      </w:r>
      <w:r>
        <w:t>:</w:t>
      </w:r>
      <w:r w:rsidR="002B5C30">
        <w:t xml:space="preserve"> Daily data of 2861 stocks and stock index futures spanning from April </w:t>
      </w:r>
      <w:proofErr w:type="gramStart"/>
      <w:r w:rsidR="002B5C30">
        <w:t>16</w:t>
      </w:r>
      <w:proofErr w:type="gramEnd"/>
      <w:r w:rsidR="002B5C30">
        <w:t xml:space="preserve"> 2010 to December 31 2015. They obtain 1388 observations of each financial object in the market from this period. After removing the stocks that were officially listed after April </w:t>
      </w:r>
      <w:proofErr w:type="gramStart"/>
      <w:r w:rsidR="002B5C30">
        <w:t>16</w:t>
      </w:r>
      <w:proofErr w:type="gramEnd"/>
      <w:r w:rsidR="002B5C30">
        <w:t xml:space="preserve"> 2010 on the Shanghai Stock exchange, they are left with 844 stocks on the Shanghai stock exchange. </w:t>
      </w:r>
      <w:r w:rsidR="002B5C30" w:rsidRPr="002B5C30">
        <w:t>Finally</w:t>
      </w:r>
      <w:r w:rsidR="002B5C30">
        <w:t xml:space="preserve"> </w:t>
      </w:r>
      <w:r w:rsidR="002B5C30" w:rsidRPr="002B5C30">
        <w:t>the</w:t>
      </w:r>
      <w:r w:rsidR="002B5C30">
        <w:t xml:space="preserve"> </w:t>
      </w:r>
      <w:r w:rsidR="002B5C30" w:rsidRPr="002B5C30">
        <w:t>studied</w:t>
      </w:r>
      <w:r w:rsidR="002B5C30">
        <w:t xml:space="preserve"> </w:t>
      </w:r>
      <w:r w:rsidR="002B5C30" w:rsidRPr="002B5C30">
        <w:t>stocks</w:t>
      </w:r>
      <w:r w:rsidR="002B5C30">
        <w:t xml:space="preserve"> </w:t>
      </w:r>
      <w:r w:rsidR="002B5C30" w:rsidRPr="002B5C30">
        <w:t>con</w:t>
      </w:r>
      <w:bookmarkStart w:id="0" w:name="_GoBack"/>
      <w:bookmarkEnd w:id="0"/>
      <w:r w:rsidR="002B5C30" w:rsidRPr="002B5C30">
        <w:t>sist</w:t>
      </w:r>
      <w:r w:rsidR="002B5C30">
        <w:t xml:space="preserve"> </w:t>
      </w:r>
      <w:r w:rsidR="002B5C30" w:rsidRPr="002B5C30">
        <w:t>of</w:t>
      </w:r>
      <w:r w:rsidR="002B5C30">
        <w:t xml:space="preserve"> </w:t>
      </w:r>
      <w:r w:rsidR="002B5C30" w:rsidRPr="002B5C30">
        <w:t>844</w:t>
      </w:r>
      <w:r w:rsidR="002B5C30">
        <w:t xml:space="preserve"> </w:t>
      </w:r>
      <w:r w:rsidR="002B5C30" w:rsidRPr="002B5C30">
        <w:t>stocks</w:t>
      </w:r>
      <w:r w:rsidR="002B5C30">
        <w:t xml:space="preserve"> </w:t>
      </w:r>
      <w:r w:rsidR="002B5C30" w:rsidRPr="002B5C30">
        <w:t>on</w:t>
      </w:r>
      <w:r w:rsidR="002B5C30">
        <w:t xml:space="preserve"> </w:t>
      </w:r>
      <w:r w:rsidR="002B5C30" w:rsidRPr="002B5C30">
        <w:t>Shanghai</w:t>
      </w:r>
      <w:r w:rsidR="002B5C30">
        <w:t xml:space="preserve"> </w:t>
      </w:r>
      <w:r w:rsidR="002B5C30" w:rsidRPr="002B5C30">
        <w:t>Stock</w:t>
      </w:r>
      <w:r w:rsidR="002B5C30">
        <w:t xml:space="preserve"> </w:t>
      </w:r>
      <w:r w:rsidR="002B5C30" w:rsidRPr="002B5C30">
        <w:t>Exchange</w:t>
      </w:r>
      <w:r w:rsidR="002B5C30">
        <w:t xml:space="preserve"> </w:t>
      </w:r>
      <w:r w:rsidR="002B5C30" w:rsidRPr="002B5C30">
        <w:t>and</w:t>
      </w:r>
      <w:r w:rsidR="002B5C30">
        <w:t xml:space="preserve"> </w:t>
      </w:r>
      <w:r w:rsidR="002B5C30" w:rsidRPr="002B5C30">
        <w:t>902</w:t>
      </w:r>
      <w:r w:rsidR="002B5C30">
        <w:t xml:space="preserve"> </w:t>
      </w:r>
      <w:r w:rsidR="002B5C30" w:rsidRPr="002B5C30">
        <w:t>stocks</w:t>
      </w:r>
      <w:r w:rsidR="002B5C30">
        <w:t xml:space="preserve"> </w:t>
      </w:r>
      <w:r w:rsidR="002B5C30" w:rsidRPr="002B5C30">
        <w:t xml:space="preserve">on Shenzhen Stock Exchange while the stock index futures include Shanghai and Shenzhen </w:t>
      </w:r>
      <w:r w:rsidR="002B5C30">
        <w:t xml:space="preserve">300 </w:t>
      </w:r>
      <w:proofErr w:type="gramStart"/>
      <w:r w:rsidR="002B5C30">
        <w:t>(</w:t>
      </w:r>
      <w:r w:rsidR="00B42A50">
        <w:t xml:space="preserve"> </w:t>
      </w:r>
      <w:proofErr w:type="spellStart"/>
      <w:r w:rsidR="002B5C30">
        <w:t>Hushen</w:t>
      </w:r>
      <w:proofErr w:type="spellEnd"/>
      <w:proofErr w:type="gramEnd"/>
      <w:r w:rsidR="002B5C30">
        <w:t xml:space="preserve"> 300) index futures, c</w:t>
      </w:r>
      <w:r w:rsidR="002B5C30" w:rsidRPr="002B5C30">
        <w:t>hina</w:t>
      </w:r>
      <w:r w:rsidR="002B5C30">
        <w:t xml:space="preserve"> </w:t>
      </w:r>
      <w:r w:rsidR="002B5C30" w:rsidRPr="002B5C30">
        <w:t>Securities</w:t>
      </w:r>
      <w:r w:rsidR="002B5C30">
        <w:t xml:space="preserve"> </w:t>
      </w:r>
      <w:r w:rsidR="002B5C30" w:rsidRPr="002B5C30">
        <w:t>Index</w:t>
      </w:r>
      <w:r w:rsidR="002B5C30">
        <w:t xml:space="preserve"> </w:t>
      </w:r>
      <w:r w:rsidR="002B5C30" w:rsidRPr="002B5C30">
        <w:t>500</w:t>
      </w:r>
      <w:r w:rsidR="002B5C30">
        <w:t xml:space="preserve"> </w:t>
      </w:r>
      <w:r w:rsidR="002B5C30" w:rsidRPr="002B5C30">
        <w:t>(CSI500)</w:t>
      </w:r>
      <w:r w:rsidR="002B5C30">
        <w:t xml:space="preserve"> </w:t>
      </w:r>
      <w:r w:rsidR="002B5C30" w:rsidRPr="002B5C30">
        <w:t>futures</w:t>
      </w:r>
      <w:r w:rsidR="002B5C30">
        <w:t xml:space="preserve"> </w:t>
      </w:r>
      <w:r w:rsidR="002B5C30" w:rsidRPr="002B5C30">
        <w:t>and</w:t>
      </w:r>
      <w:r w:rsidR="002B5C30">
        <w:t xml:space="preserve"> </w:t>
      </w:r>
      <w:r w:rsidR="002B5C30" w:rsidRPr="002B5C30">
        <w:t>Shanghai</w:t>
      </w:r>
      <w:r w:rsidR="002B5C30">
        <w:t xml:space="preserve"> </w:t>
      </w:r>
      <w:r w:rsidR="002B5C30" w:rsidRPr="002B5C30">
        <w:t>Stock</w:t>
      </w:r>
      <w:r w:rsidR="002B5C30">
        <w:t xml:space="preserve"> </w:t>
      </w:r>
      <w:r w:rsidR="002B5C30" w:rsidRPr="002B5C30">
        <w:t>50</w:t>
      </w:r>
      <w:r w:rsidR="002B5C30">
        <w:t xml:space="preserve"> </w:t>
      </w:r>
      <w:r w:rsidR="002B5C30" w:rsidRPr="002B5C30">
        <w:t>(</w:t>
      </w:r>
      <w:r w:rsidR="00B42A50">
        <w:t xml:space="preserve"> </w:t>
      </w:r>
      <w:r w:rsidR="002B5C30" w:rsidRPr="002B5C30">
        <w:t>SSE50</w:t>
      </w:r>
      <w:r w:rsidR="00B42A50">
        <w:t xml:space="preserve"> </w:t>
      </w:r>
      <w:r w:rsidR="002B5C30" w:rsidRPr="002B5C30">
        <w:t>)</w:t>
      </w:r>
      <w:r w:rsidR="002B5C30">
        <w:t xml:space="preserve"> </w:t>
      </w:r>
      <w:r w:rsidR="002B5C30" w:rsidRPr="002B5C30">
        <w:t>index</w:t>
      </w:r>
      <w:r w:rsidR="002B5C30">
        <w:t xml:space="preserve"> </w:t>
      </w:r>
      <w:r w:rsidR="002B5C30" w:rsidRPr="002B5C30">
        <w:t>futures.</w:t>
      </w:r>
      <w:r w:rsidR="002B5C30">
        <w:br/>
      </w:r>
    </w:p>
    <w:p w:rsidR="00B42A50" w:rsidRDefault="00A65B05" w:rsidP="002B5C30">
      <w:pPr>
        <w:pStyle w:val="ListParagraph"/>
        <w:numPr>
          <w:ilvl w:val="0"/>
          <w:numId w:val="1"/>
        </w:numPr>
      </w:pPr>
      <w:r w:rsidRPr="002B5C30">
        <w:rPr>
          <w:b/>
        </w:rPr>
        <w:t>Method</w:t>
      </w:r>
      <w:r>
        <w:t>:</w:t>
      </w:r>
      <w:r w:rsidR="002B5C30">
        <w:t xml:space="preserve"> They employ a granger causality test </w:t>
      </w:r>
      <w:r w:rsidR="00B42A50">
        <w:t xml:space="preserve">for each individual stock on its ability to granger cause </w:t>
      </w:r>
      <w:proofErr w:type="spellStart"/>
      <w:r w:rsidR="00B42A50">
        <w:t>hushen</w:t>
      </w:r>
      <w:proofErr w:type="spellEnd"/>
      <w:r w:rsidR="00B42A50">
        <w:t xml:space="preserve"> 300 index futures.</w:t>
      </w:r>
      <w:r w:rsidR="002B5C30">
        <w:t xml:space="preserve"> </w:t>
      </w:r>
      <w:r w:rsidR="002B5C30">
        <w:br/>
      </w:r>
      <w:r w:rsidR="00B42A50">
        <w:br/>
      </w:r>
      <w:r w:rsidR="00B42A50">
        <w:br/>
      </w:r>
      <w:r w:rsidR="00B42A50">
        <w:rPr>
          <w:noProof/>
        </w:rPr>
        <w:drawing>
          <wp:inline distT="0" distB="0" distL="0" distR="0" wp14:anchorId="465F22FC" wp14:editId="59A9CD5F">
            <wp:extent cx="291465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30" w:rsidRDefault="00B42A50" w:rsidP="00B42A50">
      <w:pPr>
        <w:pStyle w:val="ListParagraph"/>
      </w:pPr>
      <w:r>
        <w:rPr>
          <w:b/>
        </w:rPr>
        <w:br/>
        <w:t>Conditional Granger causality test</w:t>
      </w:r>
      <w:r w:rsidRPr="00B42A50">
        <w:t>:</w:t>
      </w:r>
      <w:r>
        <w:t xml:space="preserve"> </w:t>
      </w:r>
      <w:proofErr w:type="gramStart"/>
      <w:r>
        <w:t>Really cool</w:t>
      </w:r>
      <w:proofErr w:type="gramEnd"/>
      <w:r>
        <w:t xml:space="preserve"> but maybe not applicable here: they use this detect any other variation from other stocks that would cause indirect “causation” to the futures market. They try to find direct information flow.</w:t>
      </w:r>
      <w:r>
        <w:br/>
      </w:r>
      <w:r>
        <w:br/>
      </w:r>
      <w:r>
        <w:rPr>
          <w:noProof/>
        </w:rPr>
        <w:drawing>
          <wp:inline distT="0" distB="0" distL="0" distR="0" wp14:anchorId="5726914D" wp14:editId="6FF88247">
            <wp:extent cx="28670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B5C30">
        <w:br/>
      </w:r>
      <w:r w:rsidR="002B5C30" w:rsidRPr="00B42A50">
        <w:rPr>
          <w:i/>
        </w:rPr>
        <w:t>Note</w:t>
      </w:r>
      <w:r w:rsidR="002B5C30">
        <w:t>: They first perform a stationarity analysis through an ADF-test and then, a heteroscedasticity analysis through modeling a GARCH model and adjusting the data.</w:t>
      </w:r>
      <w:r w:rsidR="002B5C30">
        <w:br/>
      </w:r>
    </w:p>
    <w:p w:rsidR="00D07F11" w:rsidRDefault="00A65B05" w:rsidP="00A65B05">
      <w:pPr>
        <w:pStyle w:val="ListParagraph"/>
        <w:numPr>
          <w:ilvl w:val="0"/>
          <w:numId w:val="1"/>
        </w:numPr>
      </w:pPr>
      <w:r w:rsidRPr="002B5C30">
        <w:rPr>
          <w:b/>
        </w:rPr>
        <w:t>Findings</w:t>
      </w:r>
      <w:r>
        <w:t>:</w:t>
      </w:r>
      <w:r w:rsidR="00B42A50">
        <w:t xml:space="preserve"> </w:t>
      </w:r>
      <w:r w:rsidR="00D07F11">
        <w:t>They find that the information flows from futures to stocks are slightly greater than stocks to futures. Also mentions that stock market volatility may contribute to fluctuations of information flows.</w:t>
      </w:r>
    </w:p>
    <w:p w:rsidR="00D07F11" w:rsidRDefault="00D07F11" w:rsidP="00D07F11">
      <w:pPr>
        <w:pStyle w:val="ListParagraph"/>
      </w:pPr>
      <w:r>
        <w:br/>
      </w:r>
      <w:r>
        <w:rPr>
          <w:noProof/>
        </w:rPr>
        <w:drawing>
          <wp:inline distT="0" distB="0" distL="0" distR="0" wp14:anchorId="7296CE56" wp14:editId="1E769E2C">
            <wp:extent cx="5943600" cy="4260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7F11" w:rsidRDefault="00D07F11" w:rsidP="00D07F11">
      <w:pPr>
        <w:pStyle w:val="ListParagraph"/>
      </w:pPr>
      <w:r>
        <w:rPr>
          <w:noProof/>
        </w:rPr>
        <w:lastRenderedPageBreak/>
        <w:drawing>
          <wp:inline distT="0" distB="0" distL="0" distR="0" wp14:anchorId="536B15EF" wp14:editId="4E3542AC">
            <wp:extent cx="5943600" cy="424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45" w:rsidRDefault="00280B45" w:rsidP="00280B45"/>
    <w:p w:rsidR="00280B45" w:rsidRDefault="00280B45" w:rsidP="00280B45"/>
    <w:p w:rsidR="00D07F11" w:rsidRDefault="00280B45" w:rsidP="00280B45">
      <w:proofErr w:type="spellStart"/>
      <w:r>
        <w:t>Bekiros</w:t>
      </w:r>
      <w:proofErr w:type="spellEnd"/>
      <w:r>
        <w:t xml:space="preserve">, </w:t>
      </w:r>
      <w:proofErr w:type="spellStart"/>
      <w:r>
        <w:t>Diks</w:t>
      </w:r>
      <w:proofErr w:type="spellEnd"/>
      <w:r>
        <w:t xml:space="preserve"> 2001 - The relationship between crude oil spot and futures prices: Cointegration, linear and nonlinear causality</w:t>
      </w:r>
    </w:p>
    <w:p w:rsidR="00280B45" w:rsidRDefault="00280B45" w:rsidP="00A65B05">
      <w:pPr>
        <w:pStyle w:val="ListParagraph"/>
        <w:numPr>
          <w:ilvl w:val="0"/>
          <w:numId w:val="1"/>
        </w:numPr>
      </w:pPr>
      <w:r w:rsidRPr="00280B45">
        <w:rPr>
          <w:b/>
        </w:rPr>
        <w:t>RQ</w:t>
      </w:r>
      <w:r>
        <w:t>: What is the lead-lag relationship between crude oil spot and futures prices</w:t>
      </w:r>
    </w:p>
    <w:p w:rsidR="00280B45" w:rsidRDefault="00280B45" w:rsidP="00A65B05">
      <w:pPr>
        <w:pStyle w:val="ListParagraph"/>
        <w:numPr>
          <w:ilvl w:val="0"/>
          <w:numId w:val="1"/>
        </w:numPr>
      </w:pPr>
      <w:r w:rsidRPr="00280B45">
        <w:rPr>
          <w:b/>
        </w:rPr>
        <w:t>Data</w:t>
      </w:r>
      <w:r w:rsidR="00B3543A">
        <w:t xml:space="preserve">: </w:t>
      </w:r>
    </w:p>
    <w:p w:rsidR="00280B45" w:rsidRDefault="00280B45" w:rsidP="00A65B05">
      <w:pPr>
        <w:pStyle w:val="ListParagraph"/>
        <w:numPr>
          <w:ilvl w:val="0"/>
          <w:numId w:val="1"/>
        </w:numPr>
      </w:pPr>
      <w:r w:rsidRPr="00280B45">
        <w:rPr>
          <w:b/>
        </w:rPr>
        <w:t>Method</w:t>
      </w:r>
      <w:r>
        <w:t>:</w:t>
      </w:r>
    </w:p>
    <w:p w:rsidR="00B42A50" w:rsidRDefault="00280B45" w:rsidP="00A65B05">
      <w:pPr>
        <w:pStyle w:val="ListParagraph"/>
        <w:numPr>
          <w:ilvl w:val="0"/>
          <w:numId w:val="1"/>
        </w:numPr>
      </w:pPr>
      <w:r w:rsidRPr="00280B45">
        <w:rPr>
          <w:b/>
        </w:rPr>
        <w:t>Findings</w:t>
      </w:r>
      <w:r>
        <w:t>:</w:t>
      </w:r>
      <w:r w:rsidR="00B42A50">
        <w:br/>
      </w:r>
    </w:p>
    <w:p w:rsidR="00A65B05" w:rsidRDefault="00B42A50" w:rsidP="00B42A50">
      <w:pPr>
        <w:pStyle w:val="ListParagraph"/>
      </w:pPr>
      <w:r>
        <w:br/>
      </w:r>
    </w:p>
    <w:p w:rsidR="00D07F11" w:rsidRDefault="00022A00" w:rsidP="00B42A50">
      <w:pPr>
        <w:pStyle w:val="ListParagraph"/>
      </w:pPr>
      <w:proofErr w:type="spellStart"/>
      <w:r>
        <w:lastRenderedPageBreak/>
        <w:t>Vargranger</w:t>
      </w:r>
      <w:proofErr w:type="spellEnd"/>
      <w:r>
        <w:t xml:space="preserve"> description</w:t>
      </w:r>
      <w:r w:rsidR="00D07F11">
        <w:br/>
      </w:r>
      <w:r w:rsidR="00D07F11">
        <w:br/>
      </w:r>
      <w:r>
        <w:rPr>
          <w:noProof/>
        </w:rPr>
        <w:drawing>
          <wp:inline distT="0" distB="0" distL="0" distR="0" wp14:anchorId="6B33B5D0" wp14:editId="1F8FAE4F">
            <wp:extent cx="5943600" cy="654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11" w:rsidRDefault="00D07F11" w:rsidP="00B42A50">
      <w:pPr>
        <w:pStyle w:val="ListParagraph"/>
      </w:pPr>
    </w:p>
    <w:sectPr w:rsidR="00D0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3609"/>
    <w:multiLevelType w:val="hybridMultilevel"/>
    <w:tmpl w:val="681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3C"/>
    <w:rsid w:val="00022A00"/>
    <w:rsid w:val="00074D40"/>
    <w:rsid w:val="00186EE3"/>
    <w:rsid w:val="00190D61"/>
    <w:rsid w:val="00280B45"/>
    <w:rsid w:val="002B5C30"/>
    <w:rsid w:val="00A65B05"/>
    <w:rsid w:val="00A7352F"/>
    <w:rsid w:val="00B3543A"/>
    <w:rsid w:val="00B42A50"/>
    <w:rsid w:val="00D07F11"/>
    <w:rsid w:val="00D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CCE9"/>
  <w15:chartTrackingRefBased/>
  <w15:docId w15:val="{629D8AC7-29E6-412E-8EF2-8FD5520E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dcterms:created xsi:type="dcterms:W3CDTF">2018-05-03T03:41:00Z</dcterms:created>
  <dcterms:modified xsi:type="dcterms:W3CDTF">2018-05-04T05:42:00Z</dcterms:modified>
</cp:coreProperties>
</file>