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18" w:rsidRDefault="0071505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Are CBOE Bitcoin Futures a Safe-Haven?</w:t>
      </w:r>
    </w:p>
    <w:p w:rsidR="00FB3918" w:rsidRDefault="00715058">
      <w:pPr>
        <w:numPr>
          <w:ilvl w:val="0"/>
          <w:numId w:val="1"/>
        </w:numPr>
        <w:spacing w:line="240" w:lineRule="auto"/>
        <w:ind w:left="36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Introduction </w:t>
      </w:r>
    </w:p>
    <w:p w:rsidR="00FB3918" w:rsidRDefault="005E323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Since </w:t>
      </w:r>
      <w:r w:rsidR="00715058">
        <w:rPr>
          <w:rFonts w:ascii="Times New Roman" w:eastAsia="Times New Roman" w:hAnsi="Times New Roman" w:cs="Times New Roman"/>
          <w:color w:val="000000"/>
          <w:sz w:val="24"/>
          <w:szCs w:val="24"/>
        </w:rPr>
        <w:t>the launch of</w:t>
      </w:r>
      <w:r>
        <w:rPr>
          <w:rFonts w:ascii="Times New Roman" w:eastAsia="Times New Roman" w:hAnsi="Times New Roman" w:cs="Times New Roman"/>
          <w:color w:val="000000"/>
          <w:sz w:val="24"/>
          <w:szCs w:val="24"/>
        </w:rPr>
        <w:t xml:space="preserve"> Bitcoin </w:t>
      </w:r>
      <w:r w:rsidR="001A67D7">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utures by</w:t>
      </w:r>
      <w:r w:rsidR="00715058">
        <w:rPr>
          <w:rFonts w:ascii="Times New Roman" w:eastAsia="Times New Roman" w:hAnsi="Times New Roman" w:cs="Times New Roman"/>
          <w:color w:val="000000"/>
          <w:sz w:val="24"/>
          <w:szCs w:val="24"/>
        </w:rPr>
        <w:t xml:space="preserve"> the Chicago Board of Exchange</w:t>
      </w:r>
      <w:r>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in December 2017, the relationship between Bitcoin and Bitcoin futures has not been explored to a large extent in the academic literature. While these are not the first derivatives of Bitcoin</w:t>
      </w:r>
      <w:r>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as there have been prediction markets present for some time, the novelty to the CBOE Bitcoin Futures relies on the respectability of the exchange as a financial institution</w:t>
      </w:r>
      <w:r w:rsidR="009266D2">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which provides a more legitimized means of investing in Bitcoin</w:t>
      </w:r>
      <w:r>
        <w:rPr>
          <w:rFonts w:ascii="Times New Roman" w:eastAsia="Times New Roman" w:hAnsi="Times New Roman" w:cs="Times New Roman"/>
          <w:color w:val="000000"/>
          <w:sz w:val="24"/>
          <w:szCs w:val="24"/>
        </w:rPr>
        <w:t>. Transacting</w:t>
      </w:r>
      <w:r w:rsidR="00715058">
        <w:rPr>
          <w:rFonts w:ascii="Times New Roman" w:eastAsia="Times New Roman" w:hAnsi="Times New Roman" w:cs="Times New Roman"/>
          <w:color w:val="000000"/>
          <w:sz w:val="24"/>
          <w:szCs w:val="24"/>
        </w:rPr>
        <w:t xml:space="preserve"> in Bitcoin has a large counterparty risk and a liquidity problem. Aware of these issues, investors will likely find the new futures market more attractive than buying and selling Bitcoin directly as the futures settle in </w:t>
      </w:r>
      <w:r w:rsidR="00AC537A">
        <w:rPr>
          <w:rFonts w:ascii="Times New Roman" w:eastAsia="Times New Roman" w:hAnsi="Times New Roman" w:cs="Times New Roman"/>
          <w:color w:val="000000"/>
          <w:sz w:val="24"/>
          <w:szCs w:val="24"/>
        </w:rPr>
        <w:t>United States Dollar</w:t>
      </w:r>
      <w:r w:rsidR="00715058">
        <w:rPr>
          <w:rFonts w:ascii="Times New Roman" w:eastAsia="Times New Roman" w:hAnsi="Times New Roman" w:cs="Times New Roman"/>
          <w:color w:val="000000"/>
          <w:sz w:val="24"/>
          <w:szCs w:val="24"/>
        </w:rPr>
        <w:t xml:space="preserve">, have a unified reference price of Bitcoin, are regulated by the Commodity Futures Trading Commission, and allow for the ability to short the asset. Further, as many recent studies </w:t>
      </w:r>
      <w:r>
        <w:rPr>
          <w:rFonts w:ascii="Times New Roman" w:eastAsia="Times New Roman" w:hAnsi="Times New Roman" w:cs="Times New Roman"/>
          <w:color w:val="000000"/>
          <w:sz w:val="24"/>
          <w:szCs w:val="24"/>
        </w:rPr>
        <w:t>find</w:t>
      </w:r>
      <w:r w:rsidR="00715058">
        <w:rPr>
          <w:rFonts w:ascii="Times New Roman" w:eastAsia="Times New Roman" w:hAnsi="Times New Roman" w:cs="Times New Roman"/>
          <w:color w:val="000000"/>
          <w:sz w:val="24"/>
          <w:szCs w:val="24"/>
        </w:rPr>
        <w:t xml:space="preserve"> that Bitcoin may act as a safe-haven from shocks in the stock market, portfolio managers may seek to use Bitcoin futures to reduce their portfolio risk. </w:t>
      </w:r>
      <w:r w:rsidR="00AC537A">
        <w:rPr>
          <w:rFonts w:ascii="Times New Roman" w:eastAsia="Times New Roman" w:hAnsi="Times New Roman" w:cs="Times New Roman"/>
          <w:color w:val="000000"/>
          <w:sz w:val="24"/>
          <w:szCs w:val="24"/>
        </w:rPr>
        <w:t>This leads to the question addressed in this paper:</w:t>
      </w:r>
      <w:r w:rsidR="00715058">
        <w:rPr>
          <w:rFonts w:ascii="Times New Roman" w:eastAsia="Times New Roman" w:hAnsi="Times New Roman" w:cs="Times New Roman"/>
          <w:color w:val="000000"/>
          <w:sz w:val="24"/>
          <w:szCs w:val="24"/>
        </w:rPr>
        <w:t xml:space="preserve"> do Bitcoin futures provide the same safe-haven effect</w:t>
      </w:r>
      <w:r w:rsidR="00AC537A">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as described in the literature, and what is the relationship between Bitcoin</w:t>
      </w:r>
      <w:r w:rsidR="00BF0A25">
        <w:rPr>
          <w:rFonts w:ascii="Times New Roman" w:eastAsia="Times New Roman" w:hAnsi="Times New Roman" w:cs="Times New Roman"/>
          <w:color w:val="000000"/>
          <w:sz w:val="24"/>
          <w:szCs w:val="24"/>
        </w:rPr>
        <w:t xml:space="preserve"> futures returns</w:t>
      </w:r>
      <w:r w:rsidR="006B6D13">
        <w:rPr>
          <w:rFonts w:ascii="Times New Roman" w:eastAsia="Times New Roman" w:hAnsi="Times New Roman" w:cs="Times New Roman"/>
          <w:color w:val="000000"/>
          <w:sz w:val="24"/>
          <w:szCs w:val="24"/>
        </w:rPr>
        <w:t xml:space="preserve"> and their </w:t>
      </w:r>
      <w:r w:rsidR="00BF0A25">
        <w:rPr>
          <w:rFonts w:ascii="Times New Roman" w:eastAsia="Times New Roman" w:hAnsi="Times New Roman" w:cs="Times New Roman"/>
          <w:color w:val="000000"/>
          <w:sz w:val="24"/>
          <w:szCs w:val="24"/>
        </w:rPr>
        <w:t>volatility</w:t>
      </w:r>
      <w:r w:rsidR="00715058">
        <w:rPr>
          <w:rFonts w:ascii="Times New Roman" w:eastAsia="Times New Roman" w:hAnsi="Times New Roman" w:cs="Times New Roman"/>
          <w:color w:val="000000"/>
          <w:sz w:val="24"/>
          <w:szCs w:val="24"/>
        </w:rPr>
        <w:t>?</w:t>
      </w:r>
    </w:p>
    <w:p w:rsidR="00FB3918" w:rsidRDefault="00715058">
      <w:pPr>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reviews several groups of literature on Bitcoin. The first group of papers introduces Bitcoin as a technology, presents a few studies on the risks inherent in the use of Bitcoin, and describes how Bitcoin is a speculative investment. The second group of papers discusses the use of traditional commodities and Bitcoin as a safe-haven.</w:t>
      </w:r>
    </w:p>
    <w:p w:rsidR="00FB3918" w:rsidRDefault="00715058">
      <w:pPr>
        <w:numPr>
          <w:ilvl w:val="0"/>
          <w:numId w:val="2"/>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Background on Bitcoin</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Bitcoin is a decentralized virtual currency that boasts a new technology called blockchain which</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put simply</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a shared public ledger of all confirmed transactions of Bitcoin. To confirm these transactions and transact in Bitcoin, the technology relies on a distributed consensus system </w:t>
      </w:r>
      <w:r>
        <w:rPr>
          <w:rFonts w:ascii="Times New Roman" w:eastAsia="Times New Roman" w:hAnsi="Times New Roman" w:cs="Times New Roman"/>
          <w:color w:val="000000"/>
          <w:sz w:val="24"/>
          <w:szCs w:val="24"/>
        </w:rPr>
        <w:lastRenderedPageBreak/>
        <w:t>otherwise called “mining”</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which validates the transaction through a network of computers. These computers evaluate increasingly difficult cryptographic hash functions to find a specific chain of randomly generated alphanumeric characters. Once found, the correct alphanumeric string of characters symbolizes a block being added to the block chain and the transaction being validated. Participating miners are incentivized to validate transactions because the computer that ascertains the correct string of characters receives a reward of newly generated Bitcoin which in January</w:t>
      </w:r>
      <w:r w:rsidR="005E3234">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 xml:space="preserve"> was 12.5 Bitcoin per block representing $200,000 of US currency</w:t>
      </w:r>
      <w:r w:rsidR="005E3234">
        <w:rPr>
          <w:rFonts w:ascii="Times New Roman" w:eastAsia="Times New Roman" w:hAnsi="Times New Roman" w:cs="Times New Roman"/>
          <w:color w:val="000000"/>
          <w:sz w:val="24"/>
          <w:szCs w:val="24"/>
        </w:rPr>
        <w:t xml:space="preserve"> at that time</w:t>
      </w:r>
      <w:r>
        <w:rPr>
          <w:rFonts w:ascii="Times New Roman" w:eastAsia="Times New Roman" w:hAnsi="Times New Roman" w:cs="Times New Roman"/>
          <w:color w:val="000000"/>
          <w:sz w:val="24"/>
          <w:szCs w:val="24"/>
        </w:rPr>
        <w:t>. (</w:t>
      </w:r>
      <w:r w:rsidR="00AC537A">
        <w:rPr>
          <w:rFonts w:ascii="Times New Roman" w:eastAsia="Times New Roman" w:hAnsi="Times New Roman" w:cs="Times New Roman"/>
          <w:color w:val="000000"/>
          <w:sz w:val="24"/>
          <w:szCs w:val="24"/>
        </w:rPr>
        <w:t>CoinDesk</w:t>
      </w:r>
      <w:r>
        <w:rPr>
          <w:rFonts w:ascii="Times New Roman" w:eastAsia="Times New Roman" w:hAnsi="Times New Roman" w:cs="Times New Roman"/>
          <w:color w:val="000000"/>
          <w:sz w:val="24"/>
          <w:szCs w:val="24"/>
        </w:rPr>
        <w:t>)</w:t>
      </w:r>
      <w:r w:rsidR="005E323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the number of Bitcoin rewarded per block decreases with time as the model allowing the generation of the currency asymptotically reduces the amount of newly minted Bitcoin to zero as the total number</w:t>
      </w:r>
      <w:r w:rsidR="006B6D13">
        <w:rPr>
          <w:rFonts w:ascii="Times New Roman" w:eastAsia="Times New Roman" w:hAnsi="Times New Roman" w:cs="Times New Roman"/>
          <w:color w:val="000000"/>
          <w:sz w:val="24"/>
          <w:szCs w:val="24"/>
        </w:rPr>
        <w:t xml:space="preserve"> of Bitcoin</w:t>
      </w:r>
      <w:r>
        <w:rPr>
          <w:rFonts w:ascii="Times New Roman" w:eastAsia="Times New Roman" w:hAnsi="Times New Roman" w:cs="Times New Roman"/>
          <w:color w:val="000000"/>
          <w:sz w:val="24"/>
          <w:szCs w:val="24"/>
        </w:rPr>
        <w:t xml:space="preserve"> in the market approaches 21 million</w:t>
      </w:r>
      <w:r w:rsidR="005E323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w:t>
      </w:r>
      <w:r>
        <w:rPr>
          <w:rFonts w:ascii="Times New Roman" w:eastAsia="Times New Roman" w:hAnsi="Times New Roman" w:cs="Times New Roman"/>
          <w:color w:val="000000"/>
          <w:sz w:val="24"/>
          <w:szCs w:val="24"/>
        </w:rPr>
        <w:t>Nakamoto 2018)</w:t>
      </w:r>
      <w:r w:rsidR="005E3234">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this new technology, Yermack (2013) critiques the efficacy of Bitcoin as a currency. He analyzes Bitcoin on several factors that influence currency: if it functions as a medium of exchange, a unit of account, and a store of value. According to Yermack 2013, Bitcoin has several glaring </w:t>
      </w:r>
      <w:r w:rsidR="00AC537A">
        <w:rPr>
          <w:rFonts w:ascii="Times New Roman" w:eastAsia="Times New Roman" w:hAnsi="Times New Roman" w:cs="Times New Roman"/>
          <w:color w:val="000000"/>
          <w:sz w:val="24"/>
          <w:szCs w:val="24"/>
        </w:rPr>
        <w:t>problems in</w:t>
      </w:r>
      <w:r>
        <w:rPr>
          <w:rFonts w:ascii="Times New Roman" w:eastAsia="Times New Roman" w:hAnsi="Times New Roman" w:cs="Times New Roman"/>
          <w:color w:val="000000"/>
          <w:sz w:val="24"/>
          <w:szCs w:val="24"/>
        </w:rPr>
        <w:t xml:space="preserve"> satisfying these criteria. For one, it is considerably more difficult to procure Bitcoin compared to other currencies. Exchanges of Bitcoin have low liquidity and significant bid-ask spreads. Secondly, Bitcoin cannot be deposited in banks and must be stored in an electronic wallet on a computer. The storage of value is contingent on the accurate storage of the Bitcoin wallet and has inherent risks. Lastly, he argues that Bitcoin </w:t>
      </w:r>
      <w:r w:rsidR="00AC537A">
        <w:rPr>
          <w:rFonts w:ascii="Times New Roman" w:eastAsia="Times New Roman" w:hAnsi="Times New Roman" w:cs="Times New Roman"/>
          <w:color w:val="000000"/>
          <w:sz w:val="24"/>
          <w:szCs w:val="24"/>
        </w:rPr>
        <w:t xml:space="preserve">currently </w:t>
      </w:r>
      <w:r>
        <w:rPr>
          <w:rFonts w:ascii="Times New Roman" w:eastAsia="Times New Roman" w:hAnsi="Times New Roman" w:cs="Times New Roman"/>
          <w:color w:val="000000"/>
          <w:sz w:val="24"/>
          <w:szCs w:val="24"/>
        </w:rPr>
        <w:t xml:space="preserve">has no commercial value or practical use due to the small volume of transactions that take place in Bitcoin. He </w:t>
      </w:r>
      <w:r w:rsidR="00AC537A">
        <w:rPr>
          <w:rFonts w:ascii="Times New Roman" w:eastAsia="Times New Roman" w:hAnsi="Times New Roman" w:cs="Times New Roman"/>
          <w:color w:val="000000"/>
          <w:sz w:val="24"/>
          <w:szCs w:val="24"/>
        </w:rPr>
        <w:t>posits</w:t>
      </w:r>
      <w:r>
        <w:rPr>
          <w:rFonts w:ascii="Times New Roman" w:eastAsia="Times New Roman" w:hAnsi="Times New Roman" w:cs="Times New Roman"/>
          <w:color w:val="000000"/>
          <w:sz w:val="24"/>
          <w:szCs w:val="24"/>
        </w:rPr>
        <w:t xml:space="preserve"> that Bitcoin is more of a speculative investment than an actual currency (Yermack 2013)</w:t>
      </w:r>
      <w:r w:rsidR="00773009">
        <w:rPr>
          <w:rFonts w:ascii="Times New Roman" w:eastAsia="Times New Roman" w:hAnsi="Times New Roman" w:cs="Times New Roman"/>
          <w:color w:val="000000"/>
          <w:sz w:val="24"/>
          <w:szCs w:val="24"/>
        </w:rPr>
        <w:t>.</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Like Yermack (2013), Moore (2013) discusses risks associated with transacting in Bitcoin acquired through Bitcoin exchanges. His analysis focuses on the survivability of Bitcoin exchanges. Interestingly, he finds that of the 40 Bitcoin exchanges that existed up to 2013, 18 exchanges have closed and 5 of the</w:t>
      </w:r>
      <w:r w:rsidR="00773009">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z w:val="24"/>
          <w:szCs w:val="24"/>
        </w:rPr>
        <w:t xml:space="preserve"> exchanges did not reimburse the participants</w:t>
      </w:r>
      <w:r w:rsidR="00AC537A">
        <w:rPr>
          <w:rFonts w:ascii="Times New Roman" w:eastAsia="Times New Roman" w:hAnsi="Times New Roman" w:cs="Times New Roman"/>
          <w:color w:val="000000"/>
          <w:sz w:val="24"/>
          <w:szCs w:val="24"/>
        </w:rPr>
        <w:t>,</w:t>
      </w:r>
      <w:r w:rsidR="006B6D13">
        <w:rPr>
          <w:rFonts w:ascii="Times New Roman" w:eastAsia="Times New Roman" w:hAnsi="Times New Roman" w:cs="Times New Roman"/>
          <w:color w:val="000000"/>
          <w:sz w:val="24"/>
          <w:szCs w:val="24"/>
        </w:rPr>
        <w:t xml:space="preserve"> which </w:t>
      </w:r>
      <w:r>
        <w:rPr>
          <w:rFonts w:ascii="Times New Roman" w:eastAsia="Times New Roman" w:hAnsi="Times New Roman" w:cs="Times New Roman"/>
          <w:color w:val="000000"/>
          <w:sz w:val="24"/>
          <w:szCs w:val="24"/>
        </w:rPr>
        <w:t>suggest</w:t>
      </w:r>
      <w:r w:rsidR="006B6D1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that there are real risks of transacting in Bitcoin (Moore 2013)</w:t>
      </w:r>
      <w:r w:rsidR="00773009">
        <w:rPr>
          <w:rFonts w:ascii="Times New Roman" w:eastAsia="Times New Roman" w:hAnsi="Times New Roman" w:cs="Times New Roman"/>
          <w:color w:val="000000"/>
          <w:sz w:val="24"/>
          <w:szCs w:val="24"/>
        </w:rPr>
        <w:t>.</w:t>
      </w:r>
    </w:p>
    <w:p w:rsidR="00FB3918" w:rsidRDefault="00773009">
      <w:pPr>
        <w:spacing w:line="480" w:lineRule="auto"/>
        <w:ind w:firstLine="720"/>
        <w:rPr>
          <w:rFonts w:ascii="Times New Roman" w:eastAsia="Times New Roman" w:hAnsi="Times New Roman" w:cs="Times New Roman"/>
          <w:sz w:val="24"/>
          <w:szCs w:val="24"/>
        </w:rPr>
      </w:pP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sidRPr="00773009">
        <w:rPr>
          <w:rFonts w:ascii="Times New Roman" w:eastAsia="Times New Roman" w:hAnsi="Times New Roman" w:cs="Times New Roman"/>
          <w:color w:val="000000"/>
          <w:sz w:val="24"/>
          <w:szCs w:val="24"/>
        </w:rPr>
        <w:t xml:space="preserve">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Pr>
          <w:rFonts w:ascii="Times New Roman" w:eastAsia="Times New Roman" w:hAnsi="Times New Roman" w:cs="Times New Roman"/>
          <w:color w:val="000000"/>
          <w:sz w:val="24"/>
          <w:szCs w:val="24"/>
        </w:rPr>
        <w:t>utilize</w:t>
      </w:r>
      <w:r w:rsidR="00715058">
        <w:rPr>
          <w:rFonts w:ascii="Times New Roman" w:eastAsia="Times New Roman" w:hAnsi="Times New Roman" w:cs="Times New Roman"/>
          <w:color w:val="000000"/>
          <w:sz w:val="24"/>
          <w:szCs w:val="24"/>
        </w:rPr>
        <w:t xml:space="preserve"> </w:t>
      </w:r>
      <w:r w:rsidR="003F3A51">
        <w:rPr>
          <w:rFonts w:ascii="Times New Roman" w:eastAsia="Times New Roman" w:hAnsi="Times New Roman" w:cs="Times New Roman"/>
          <w:color w:val="000000"/>
          <w:sz w:val="24"/>
          <w:szCs w:val="24"/>
        </w:rPr>
        <w:t xml:space="preserve">the </w:t>
      </w:r>
      <w:r w:rsidR="00715058">
        <w:rPr>
          <w:rFonts w:ascii="Times New Roman" w:eastAsia="Times New Roman" w:hAnsi="Times New Roman" w:cs="Times New Roman"/>
          <w:color w:val="000000"/>
          <w:sz w:val="24"/>
          <w:szCs w:val="24"/>
        </w:rPr>
        <w:t>public ledger of Bitcoin transactions to decipher what Bitcoin wallet accounts are likely to be linked to criminal activity based on their transactional history. In their study, they categorize Bitcoin users into two different bins</w:t>
      </w:r>
      <w:r w:rsidR="00AC537A">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illegal users and legal users</w:t>
      </w:r>
      <w:r w:rsidR="00AC537A">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such as speculative traders. They find that “Illegal users are estimated to control around 38.21% of Bitcoin addresses and account for one-fifth (20.3%) of the dollar volume of Bitcoin transactions. In dollar terms, illegal users conduct approximately $378 billion worth of Bitcoin transactions.” Essentially, illegal users control a sizable portion of Bitcoin transactions which constitutes a practical use for Bitcoin and a commercial value. This notion differs from the perspective of Yermack (2013). Also, </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sidRPr="00773009">
        <w:rPr>
          <w:rFonts w:ascii="Times New Roman" w:eastAsia="Times New Roman" w:hAnsi="Times New Roman" w:cs="Times New Roman"/>
          <w:color w:val="000000"/>
          <w:sz w:val="24"/>
          <w:szCs w:val="24"/>
        </w:rPr>
        <w:t xml:space="preserve">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 </w:t>
      </w:r>
      <w:r w:rsidR="00715058">
        <w:rPr>
          <w:rFonts w:ascii="Times New Roman" w:eastAsia="Times New Roman" w:hAnsi="Times New Roman" w:cs="Times New Roman"/>
          <w:color w:val="000000"/>
          <w:sz w:val="24"/>
          <w:szCs w:val="24"/>
        </w:rPr>
        <w:t xml:space="preserve">find that the amount of illegal activity varies over time which </w:t>
      </w:r>
      <w:r w:rsidR="00AC537A">
        <w:rPr>
          <w:rFonts w:ascii="Times New Roman" w:eastAsia="Times New Roman" w:hAnsi="Times New Roman" w:cs="Times New Roman"/>
          <w:color w:val="000000"/>
          <w:sz w:val="24"/>
          <w:szCs w:val="24"/>
        </w:rPr>
        <w:t>they</w:t>
      </w:r>
      <w:r w:rsidR="00715058">
        <w:rPr>
          <w:rFonts w:ascii="Times New Roman" w:eastAsia="Times New Roman" w:hAnsi="Times New Roman" w:cs="Times New Roman"/>
          <w:color w:val="000000"/>
          <w:sz w:val="24"/>
          <w:szCs w:val="24"/>
        </w:rPr>
        <w:t xml:space="preserve"> suggest</w:t>
      </w:r>
      <w:r w:rsidR="00AC537A">
        <w:rPr>
          <w:rFonts w:ascii="Times New Roman" w:eastAsia="Times New Roman" w:hAnsi="Times New Roman" w:cs="Times New Roman"/>
          <w:color w:val="000000"/>
          <w:sz w:val="24"/>
          <w:szCs w:val="24"/>
        </w:rPr>
        <w:t xml:space="preserve"> might </w:t>
      </w:r>
      <w:r w:rsidR="00715058">
        <w:rPr>
          <w:rFonts w:ascii="Times New Roman" w:eastAsia="Times New Roman" w:hAnsi="Times New Roman" w:cs="Times New Roman"/>
          <w:color w:val="000000"/>
          <w:sz w:val="24"/>
          <w:szCs w:val="24"/>
        </w:rPr>
        <w:t>related to the closure of darknet market places like the SilkRoad</w:t>
      </w:r>
      <w:r w:rsidR="00AC537A">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 xml:space="preserve">Further, the rise of media coverage and interest in Bitcoin seem to cause a decline in illicit trade. “The proportion of illegal activity in Bitcoin is inversely related to the </w:t>
      </w:r>
      <w:r w:rsidR="003F3A51">
        <w:rPr>
          <w:rFonts w:ascii="Times New Roman" w:eastAsia="Times New Roman" w:hAnsi="Times New Roman" w:cs="Times New Roman"/>
          <w:color w:val="000000"/>
          <w:sz w:val="24"/>
          <w:szCs w:val="24"/>
        </w:rPr>
        <w:t>G</w:t>
      </w:r>
      <w:r w:rsidR="00715058">
        <w:rPr>
          <w:rFonts w:ascii="Times New Roman" w:eastAsia="Times New Roman" w:hAnsi="Times New Roman" w:cs="Times New Roman"/>
          <w:color w:val="000000"/>
          <w:sz w:val="24"/>
          <w:szCs w:val="24"/>
        </w:rPr>
        <w:t xml:space="preserve">oogle search intensity of the keyword Bitcoin” </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Foley, Karlsen</w:t>
      </w:r>
      <w:r>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 xml:space="preserve">and </w:t>
      </w:r>
      <w:proofErr w:type="spellStart"/>
      <w:r w:rsidRPr="00773009">
        <w:rPr>
          <w:rFonts w:ascii="Times New Roman" w:eastAsia="Times New Roman" w:hAnsi="Times New Roman" w:cs="Times New Roman"/>
          <w:color w:val="000000"/>
          <w:sz w:val="24"/>
          <w:szCs w:val="24"/>
        </w:rPr>
        <w:t>Putniii</w:t>
      </w:r>
      <w:proofErr w:type="spellEnd"/>
      <w:r w:rsidRPr="00773009">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w:t>
      </w:r>
      <w:r w:rsidRPr="00773009">
        <w:rPr>
          <w:rFonts w:ascii="Times New Roman" w:eastAsia="Times New Roman" w:hAnsi="Times New Roman" w:cs="Times New Roman"/>
          <w:color w:val="000000"/>
          <w:sz w:val="24"/>
          <w:szCs w:val="24"/>
        </w:rPr>
        <w:t xml:space="preserve"> </w:t>
      </w:r>
      <w:r w:rsidR="00715058">
        <w:rPr>
          <w:rFonts w:ascii="Times New Roman" w:eastAsia="Times New Roman" w:hAnsi="Times New Roman" w:cs="Times New Roman"/>
          <w:color w:val="000000"/>
          <w:sz w:val="24"/>
          <w:szCs w:val="24"/>
        </w:rPr>
        <w:t xml:space="preserve">This follows </w:t>
      </w:r>
      <w:proofErr w:type="spellStart"/>
      <w:r w:rsidR="00715058">
        <w:rPr>
          <w:rFonts w:ascii="Times New Roman" w:eastAsia="Times New Roman" w:hAnsi="Times New Roman" w:cs="Times New Roman"/>
          <w:color w:val="000000"/>
          <w:sz w:val="24"/>
          <w:szCs w:val="24"/>
        </w:rPr>
        <w:t>Kristoufek</w:t>
      </w:r>
      <w:proofErr w:type="spellEnd"/>
      <w:r w:rsidR="00715058">
        <w:rPr>
          <w:rFonts w:ascii="Times New Roman" w:eastAsia="Times New Roman" w:hAnsi="Times New Roman" w:cs="Times New Roman"/>
          <w:color w:val="000000"/>
          <w:sz w:val="24"/>
          <w:szCs w:val="24"/>
        </w:rPr>
        <w:t xml:space="preserve"> (2013)</w:t>
      </w:r>
      <w:r w:rsidR="00604013">
        <w:rPr>
          <w:rFonts w:ascii="Times New Roman" w:eastAsia="Times New Roman" w:hAnsi="Times New Roman" w:cs="Times New Roman"/>
          <w:color w:val="000000"/>
          <w:sz w:val="24"/>
          <w:szCs w:val="24"/>
        </w:rPr>
        <w:t>,</w:t>
      </w:r>
      <w:r w:rsidR="00715058">
        <w:rPr>
          <w:rFonts w:ascii="Times New Roman" w:eastAsia="Times New Roman" w:hAnsi="Times New Roman" w:cs="Times New Roman"/>
          <w:color w:val="000000"/>
          <w:sz w:val="24"/>
          <w:szCs w:val="24"/>
        </w:rPr>
        <w:t xml:space="preserve"> where Google searches for the word Bitcoin are postulated to be related to speculative trading and influence the price of Bitcoin. </w:t>
      </w:r>
    </w:p>
    <w:p w:rsidR="00FB3918" w:rsidRDefault="00715058">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 argues that Bitcoin does not have a </w:t>
      </w:r>
      <w:r w:rsidR="003F3A51">
        <w:rPr>
          <w:rFonts w:ascii="Times New Roman" w:eastAsia="Times New Roman" w:hAnsi="Times New Roman" w:cs="Times New Roman"/>
          <w:color w:val="000000"/>
          <w:sz w:val="24"/>
          <w:szCs w:val="24"/>
        </w:rPr>
        <w:t>commercial</w:t>
      </w:r>
      <w:r>
        <w:rPr>
          <w:rFonts w:ascii="Times New Roman" w:eastAsia="Times New Roman" w:hAnsi="Times New Roman" w:cs="Times New Roman"/>
          <w:color w:val="000000"/>
          <w:sz w:val="24"/>
          <w:szCs w:val="24"/>
        </w:rPr>
        <w:t xml:space="preserve"> value or practical use and that investor sentiment should be the major driver of the price as the only strategy is to buy and hold in the Bitcoin market. The assumption made is that investor sentiment can be measured </w:t>
      </w:r>
      <w:r>
        <w:rPr>
          <w:rFonts w:ascii="Times New Roman" w:eastAsia="Times New Roman" w:hAnsi="Times New Roman" w:cs="Times New Roman"/>
          <w:color w:val="000000"/>
          <w:sz w:val="24"/>
          <w:szCs w:val="24"/>
        </w:rPr>
        <w:lastRenderedPageBreak/>
        <w:t xml:space="preserve">by internet searches for the word </w:t>
      </w:r>
      <w:r>
        <w:rPr>
          <w:rFonts w:ascii="Times New Roman" w:eastAsia="Times New Roman" w:hAnsi="Times New Roman" w:cs="Times New Roman"/>
          <w:i/>
          <w:iCs/>
          <w:color w:val="000000"/>
          <w:sz w:val="24"/>
          <w:szCs w:val="24"/>
        </w:rPr>
        <w:t xml:space="preserve">Bitcoin. </w:t>
      </w:r>
      <w:r>
        <w:rPr>
          <w:rFonts w:ascii="Times New Roman" w:eastAsia="Times New Roman" w:hAnsi="Times New Roman" w:cs="Times New Roman"/>
          <w:color w:val="000000"/>
          <w:sz w:val="24"/>
          <w:szCs w:val="24"/>
        </w:rPr>
        <w:t xml:space="preserve">Through estimating a VAR model, it is found that </w:t>
      </w:r>
      <w:r w:rsidR="003F3A51">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z w:val="24"/>
          <w:szCs w:val="24"/>
        </w:rPr>
        <w:t>oogle searches cause Bitcoin prices in a bi-directional manner. Moreover, looking at both bull and bear market situations, he shows that interest in Bitcoin as measured by Google searches for the wor</w:t>
      </w:r>
      <w:r w:rsidR="003F3A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Bitcoin</w:t>
      </w:r>
      <w:r w:rsidR="0060401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increases the volatility of </w:t>
      </w:r>
      <w:r w:rsidR="00604013">
        <w:rPr>
          <w:rFonts w:ascii="Times New Roman" w:eastAsia="Times New Roman" w:hAnsi="Times New Roman" w:cs="Times New Roman"/>
          <w:color w:val="000000"/>
          <w:sz w:val="24"/>
          <w:szCs w:val="24"/>
        </w:rPr>
        <w:t>Bitcoin’s</w:t>
      </w:r>
      <w:r>
        <w:rPr>
          <w:rFonts w:ascii="Times New Roman" w:eastAsia="Times New Roman" w:hAnsi="Times New Roman" w:cs="Times New Roman"/>
          <w:color w:val="000000"/>
          <w:sz w:val="24"/>
          <w:szCs w:val="24"/>
        </w:rPr>
        <w:t xml:space="preserve"> price (</w:t>
      </w:r>
      <w:proofErr w:type="spellStart"/>
      <w:r>
        <w:rPr>
          <w:rFonts w:ascii="Times New Roman" w:eastAsia="Times New Roman" w:hAnsi="Times New Roman" w:cs="Times New Roman"/>
          <w:color w:val="000000"/>
          <w:sz w:val="24"/>
          <w:szCs w:val="24"/>
        </w:rPr>
        <w:t>Kristoufek</w:t>
      </w:r>
      <w:proofErr w:type="spellEnd"/>
      <w:r>
        <w:rPr>
          <w:rFonts w:ascii="Times New Roman" w:eastAsia="Times New Roman" w:hAnsi="Times New Roman" w:cs="Times New Roman"/>
          <w:color w:val="000000"/>
          <w:sz w:val="24"/>
          <w:szCs w:val="24"/>
        </w:rPr>
        <w:t xml:space="preserve"> 2013)</w:t>
      </w:r>
      <w:r w:rsidR="00773009">
        <w:rPr>
          <w:rFonts w:ascii="Times New Roman" w:eastAsia="Times New Roman" w:hAnsi="Times New Roman" w:cs="Times New Roman"/>
          <w:color w:val="000000"/>
          <w:sz w:val="24"/>
          <w:szCs w:val="24"/>
        </w:rPr>
        <w:t>.</w:t>
      </w:r>
    </w:p>
    <w:p w:rsidR="00FB3918" w:rsidRDefault="00715058">
      <w:pPr>
        <w:numPr>
          <w:ilvl w:val="0"/>
          <w:numId w:val="3"/>
        </w:numPr>
        <w:spacing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The Safe-Haven Attribute </w:t>
      </w:r>
      <w:r w:rsidR="00450EAF">
        <w:rPr>
          <w:rFonts w:ascii="Times New Roman" w:eastAsia="Times New Roman" w:hAnsi="Times New Roman" w:cs="Times New Roman"/>
          <w:b/>
          <w:bCs/>
          <w:color w:val="000000"/>
          <w:sz w:val="24"/>
          <w:szCs w:val="24"/>
        </w:rPr>
        <w:t xml:space="preserve">and Asymmetric </w:t>
      </w:r>
      <w:r w:rsidR="00433F75">
        <w:rPr>
          <w:rFonts w:ascii="Times New Roman" w:eastAsia="Times New Roman" w:hAnsi="Times New Roman" w:cs="Times New Roman"/>
          <w:b/>
          <w:bCs/>
          <w:color w:val="000000"/>
          <w:sz w:val="24"/>
          <w:szCs w:val="24"/>
        </w:rPr>
        <w:t>Volatility</w:t>
      </w:r>
    </w:p>
    <w:p w:rsidR="00FB3918" w:rsidRDefault="00715058">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breadth of literature on Bitcoin volatility and its hedging capability, the notion of a safe-haven effect comparable to that of gold and other commodities is suggested to explain why Bitcoin volatility appears to be inversely related with the volatility of equities. The following studies introduce how a commodity can be a safe-haven or a hedge and how Bitcoin is proposed to be a safe-haven</w:t>
      </w:r>
      <w:r w:rsidR="00BE193E">
        <w:rPr>
          <w:rFonts w:ascii="Times New Roman" w:eastAsia="Times New Roman" w:hAnsi="Times New Roman" w:cs="Times New Roman"/>
          <w:color w:val="000000"/>
          <w:sz w:val="24"/>
          <w:szCs w:val="24"/>
        </w:rPr>
        <w:t xml:space="preserve">. </w:t>
      </w:r>
    </w:p>
    <w:p w:rsidR="00604013" w:rsidRDefault="006040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g</w:t>
      </w:r>
      <w:r w:rsidR="00715058">
        <w:rPr>
          <w:rFonts w:ascii="Times New Roman" w:eastAsia="Times New Roman" w:hAnsi="Times New Roman" w:cs="Times New Roman"/>
          <w:sz w:val="24"/>
          <w:szCs w:val="24"/>
        </w:rPr>
        <w:t>old is considered a traditional commodity that has been largely viewed as a safe-haven from equity shocks</w:t>
      </w:r>
      <w:r>
        <w:rPr>
          <w:rFonts w:ascii="Times New Roman" w:eastAsia="Times New Roman" w:hAnsi="Times New Roman" w:cs="Times New Roman"/>
          <w:sz w:val="24"/>
          <w:szCs w:val="24"/>
        </w:rPr>
        <w:t xml:space="preserve">, </w:t>
      </w:r>
      <w:r w:rsidR="00715058">
        <w:rPr>
          <w:rFonts w:ascii="Times New Roman" w:eastAsia="Times New Roman" w:hAnsi="Times New Roman" w:cs="Times New Roman"/>
          <w:sz w:val="24"/>
          <w:szCs w:val="24"/>
        </w:rPr>
        <w:t xml:space="preserve">Baur and Lucey (2009) explicitly </w:t>
      </w:r>
      <w:r>
        <w:rPr>
          <w:rFonts w:ascii="Times New Roman" w:eastAsia="Times New Roman" w:hAnsi="Times New Roman" w:cs="Times New Roman"/>
          <w:sz w:val="24"/>
          <w:szCs w:val="24"/>
        </w:rPr>
        <w:t>test</w:t>
      </w:r>
      <w:r w:rsidR="00715058">
        <w:rPr>
          <w:rFonts w:ascii="Times New Roman" w:eastAsia="Times New Roman" w:hAnsi="Times New Roman" w:cs="Times New Roman"/>
          <w:sz w:val="24"/>
          <w:szCs w:val="24"/>
        </w:rPr>
        <w:t xml:space="preserve"> this assertion. They define three categories of financial instruments</w:t>
      </w:r>
      <w:r w:rsidR="00773009">
        <w:rPr>
          <w:rFonts w:ascii="Times New Roman" w:eastAsia="Times New Roman" w:hAnsi="Times New Roman" w:cs="Times New Roman"/>
          <w:sz w:val="24"/>
          <w:szCs w:val="24"/>
        </w:rPr>
        <w:t>:</w:t>
      </w:r>
      <w:r w:rsidR="00715058">
        <w:rPr>
          <w:rFonts w:ascii="Times New Roman" w:eastAsia="Times New Roman" w:hAnsi="Times New Roman" w:cs="Times New Roman"/>
          <w:sz w:val="24"/>
          <w:szCs w:val="24"/>
        </w:rPr>
        <w:t xml:space="preserve"> a hedge, a </w:t>
      </w:r>
      <w:proofErr w:type="spellStart"/>
      <w:r w:rsidR="00715058">
        <w:rPr>
          <w:rFonts w:ascii="Times New Roman" w:eastAsia="Times New Roman" w:hAnsi="Times New Roman" w:cs="Times New Roman"/>
          <w:sz w:val="24"/>
          <w:szCs w:val="24"/>
        </w:rPr>
        <w:t>diversifier</w:t>
      </w:r>
      <w:proofErr w:type="spellEnd"/>
      <w:r w:rsidR="00715058">
        <w:rPr>
          <w:rFonts w:ascii="Times New Roman" w:eastAsia="Times New Roman" w:hAnsi="Times New Roman" w:cs="Times New Roman"/>
          <w:sz w:val="24"/>
          <w:szCs w:val="24"/>
        </w:rPr>
        <w:t>, and a safe-haven asset. A hedge is an asset that is uncorrelated or negatively correlated with another asset or portfoli</w:t>
      </w:r>
      <w:r>
        <w:rPr>
          <w:rFonts w:ascii="Times New Roman" w:eastAsia="Times New Roman" w:hAnsi="Times New Roman" w:cs="Times New Roman"/>
          <w:sz w:val="24"/>
          <w:szCs w:val="24"/>
        </w:rPr>
        <w:t>o</w:t>
      </w:r>
      <w:r w:rsidR="00715058">
        <w:rPr>
          <w:rFonts w:ascii="Times New Roman" w:eastAsia="Times New Roman" w:hAnsi="Times New Roman" w:cs="Times New Roman"/>
          <w:sz w:val="24"/>
          <w:szCs w:val="24"/>
        </w:rPr>
        <w:t>. A diversifier is defined as an asset that is positively but no</w:t>
      </w:r>
      <w:r w:rsidR="003F3A51">
        <w:rPr>
          <w:rFonts w:ascii="Times New Roman" w:eastAsia="Times New Roman" w:hAnsi="Times New Roman" w:cs="Times New Roman"/>
          <w:sz w:val="24"/>
          <w:szCs w:val="24"/>
        </w:rPr>
        <w:t>t</w:t>
      </w:r>
      <w:r w:rsidR="00715058">
        <w:rPr>
          <w:rFonts w:ascii="Times New Roman" w:eastAsia="Times New Roman" w:hAnsi="Times New Roman" w:cs="Times New Roman"/>
          <w:sz w:val="24"/>
          <w:szCs w:val="24"/>
        </w:rPr>
        <w:t xml:space="preserve"> perfectly correlated with another asset or portfolio. A safe-haven is defined as an asset that is uncorrelated or negatively correlated with another asset or portfolio in times of market stress or turmoil. To test whether gold </w:t>
      </w:r>
      <w:r>
        <w:rPr>
          <w:rFonts w:ascii="Times New Roman" w:eastAsia="Times New Roman" w:hAnsi="Times New Roman" w:cs="Times New Roman"/>
          <w:sz w:val="24"/>
          <w:szCs w:val="24"/>
        </w:rPr>
        <w:t xml:space="preserve">fits into one or more </w:t>
      </w:r>
      <w:r w:rsidR="00715058">
        <w:rPr>
          <w:rFonts w:ascii="Times New Roman" w:eastAsia="Times New Roman" w:hAnsi="Times New Roman" w:cs="Times New Roman"/>
          <w:sz w:val="24"/>
          <w:szCs w:val="24"/>
        </w:rPr>
        <w:t xml:space="preserve">of these categories, they construct </w:t>
      </w:r>
      <w:r>
        <w:rPr>
          <w:rFonts w:ascii="Times New Roman" w:eastAsia="Times New Roman" w:hAnsi="Times New Roman" w:cs="Times New Roman"/>
          <w:sz w:val="24"/>
          <w:szCs w:val="24"/>
        </w:rPr>
        <w:t>the</w:t>
      </w:r>
      <w:r w:rsidR="00715058">
        <w:rPr>
          <w:rFonts w:ascii="Times New Roman" w:eastAsia="Times New Roman" w:hAnsi="Times New Roman" w:cs="Times New Roman"/>
          <w:sz w:val="24"/>
          <w:szCs w:val="24"/>
        </w:rPr>
        <w:t xml:space="preserve"> linear regression </w:t>
      </w:r>
      <w:r w:rsidR="0016412D">
        <w:rPr>
          <w:rFonts w:ascii="Times New Roman" w:eastAsia="Times New Roman" w:hAnsi="Times New Roman" w:cs="Times New Roman"/>
          <w:sz w:val="24"/>
          <w:szCs w:val="24"/>
        </w:rPr>
        <w:t>(see equation</w:t>
      </w:r>
      <w:r w:rsidR="00715058">
        <w:rPr>
          <w:rFonts w:ascii="Times New Roman" w:eastAsia="Times New Roman" w:hAnsi="Times New Roman" w:cs="Times New Roman"/>
          <w:sz w:val="24"/>
          <w:szCs w:val="24"/>
        </w:rPr>
        <w:t xml:space="preserve"> (1)</w:t>
      </w:r>
      <w:r w:rsidR="0016412D">
        <w:rPr>
          <w:rFonts w:ascii="Times New Roman" w:eastAsia="Times New Roman" w:hAnsi="Times New Roman" w:cs="Times New Roman"/>
          <w:sz w:val="24"/>
          <w:szCs w:val="24"/>
        </w:rPr>
        <w:t>)</w:t>
      </w:r>
      <w:r w:rsidR="00715058">
        <w:rPr>
          <w:rFonts w:ascii="Times New Roman" w:eastAsia="Times New Roman" w:hAnsi="Times New Roman" w:cs="Times New Roman"/>
          <w:sz w:val="24"/>
          <w:szCs w:val="24"/>
        </w:rPr>
        <w:t xml:space="preserve"> where the authors estimate the impact </w:t>
      </w:r>
      <w:r>
        <w:rPr>
          <w:rFonts w:ascii="Times New Roman" w:eastAsia="Times New Roman" w:hAnsi="Times New Roman" w:cs="Times New Roman"/>
          <w:sz w:val="24"/>
          <w:szCs w:val="24"/>
        </w:rPr>
        <w:t xml:space="preserve">of </w:t>
      </w:r>
      <w:r w:rsidR="00715058">
        <w:rPr>
          <w:rFonts w:ascii="Times New Roman" w:eastAsia="Times New Roman" w:hAnsi="Times New Roman" w:cs="Times New Roman"/>
          <w:sz w:val="24"/>
          <w:szCs w:val="24"/>
        </w:rPr>
        <w:t xml:space="preserve">stock returns and bond returns have on gold returns with indicator variables </w:t>
      </w:r>
      <w:proofErr w:type="spellStart"/>
      <w:r w:rsidR="00715058">
        <w:rPr>
          <w:rFonts w:ascii="Times New Roman" w:eastAsia="Times New Roman" w:hAnsi="Times New Roman" w:cs="Times New Roman"/>
          <w:i/>
          <w:sz w:val="24"/>
          <w:szCs w:val="24"/>
        </w:rPr>
        <w:t>r</w:t>
      </w:r>
      <w:r w:rsidR="00715058">
        <w:rPr>
          <w:rFonts w:ascii="Times New Roman" w:eastAsia="Times New Roman" w:hAnsi="Times New Roman" w:cs="Times New Roman"/>
          <w:i/>
          <w:sz w:val="24"/>
          <w:szCs w:val="24"/>
          <w:vertAlign w:val="subscript"/>
        </w:rPr>
        <w:t>stock</w:t>
      </w:r>
      <w:proofErr w:type="spellEnd"/>
      <w:r w:rsidR="00715058">
        <w:rPr>
          <w:rFonts w:ascii="Times New Roman" w:eastAsia="Times New Roman" w:hAnsi="Times New Roman" w:cs="Times New Roman"/>
          <w:i/>
          <w:sz w:val="24"/>
          <w:szCs w:val="24"/>
          <w:vertAlign w:val="subscript"/>
        </w:rPr>
        <w:t>, t(</w:t>
      </w:r>
      <w:proofErr w:type="gramStart"/>
      <w:r w:rsidR="00715058">
        <w:rPr>
          <w:rFonts w:ascii="Times New Roman" w:eastAsia="Times New Roman" w:hAnsi="Times New Roman" w:cs="Times New Roman"/>
          <w:i/>
          <w:sz w:val="24"/>
          <w:szCs w:val="24"/>
          <w:vertAlign w:val="subscript"/>
        </w:rPr>
        <w:t xml:space="preserve">q) </w:t>
      </w:r>
      <w:r w:rsidR="00715058">
        <w:rPr>
          <w:rFonts w:ascii="Times New Roman" w:eastAsia="Times New Roman" w:hAnsi="Times New Roman" w:cs="Times New Roman"/>
          <w:sz w:val="24"/>
          <w:szCs w:val="24"/>
        </w:rPr>
        <w:t xml:space="preserve"> and</w:t>
      </w:r>
      <w:proofErr w:type="gramEnd"/>
      <w:r w:rsidR="00715058">
        <w:rPr>
          <w:rFonts w:ascii="Times New Roman" w:eastAsia="Times New Roman" w:hAnsi="Times New Roman" w:cs="Times New Roman"/>
          <w:sz w:val="24"/>
          <w:szCs w:val="24"/>
        </w:rPr>
        <w:t xml:space="preserve"> </w:t>
      </w:r>
      <w:r w:rsidR="00715058">
        <w:rPr>
          <w:rFonts w:ascii="Times New Roman" w:eastAsia="Times New Roman" w:hAnsi="Times New Roman" w:cs="Times New Roman"/>
          <w:i/>
          <w:sz w:val="24"/>
          <w:szCs w:val="24"/>
          <w:vertAlign w:val="subscript"/>
        </w:rPr>
        <w:t xml:space="preserve"> </w:t>
      </w:r>
      <w:proofErr w:type="spellStart"/>
      <w:r w:rsidR="00715058">
        <w:rPr>
          <w:rFonts w:ascii="Times New Roman" w:eastAsia="Times New Roman" w:hAnsi="Times New Roman" w:cs="Times New Roman"/>
          <w:i/>
          <w:sz w:val="24"/>
          <w:szCs w:val="24"/>
        </w:rPr>
        <w:t>r</w:t>
      </w:r>
      <w:r w:rsidR="00720BFE" w:rsidRPr="00F83606">
        <w:rPr>
          <w:rFonts w:ascii="Times New Roman" w:eastAsia="Times New Roman" w:hAnsi="Times New Roman" w:cs="Times New Roman"/>
          <w:i/>
          <w:sz w:val="24"/>
          <w:szCs w:val="24"/>
          <w:vertAlign w:val="subscript"/>
        </w:rPr>
        <w:t>b</w:t>
      </w:r>
      <w:r w:rsidR="00F83606" w:rsidRPr="00F83606">
        <w:rPr>
          <w:rFonts w:ascii="Times New Roman" w:eastAsia="Times New Roman" w:hAnsi="Times New Roman" w:cs="Times New Roman"/>
          <w:i/>
          <w:sz w:val="24"/>
          <w:szCs w:val="24"/>
          <w:vertAlign w:val="subscript"/>
        </w:rPr>
        <w:t>ond</w:t>
      </w:r>
      <w:proofErr w:type="spellEnd"/>
      <w:r w:rsidR="00715058">
        <w:rPr>
          <w:rFonts w:ascii="Times New Roman" w:eastAsia="Times New Roman" w:hAnsi="Times New Roman" w:cs="Times New Roman"/>
          <w:i/>
          <w:sz w:val="24"/>
          <w:szCs w:val="24"/>
          <w:vertAlign w:val="subscript"/>
        </w:rPr>
        <w:t>, t(q)</w:t>
      </w:r>
      <w:r w:rsidR="00715058">
        <w:rPr>
          <w:rFonts w:ascii="Times New Roman" w:eastAsia="Times New Roman" w:hAnsi="Times New Roman" w:cs="Times New Roman"/>
          <w:sz w:val="24"/>
          <w:szCs w:val="24"/>
        </w:rPr>
        <w:t>. The indicator variables are one when the returns of the stock or bond are lower than</w:t>
      </w:r>
      <w:r w:rsidR="0016412D">
        <w:rPr>
          <w:rFonts w:ascii="Times New Roman" w:eastAsia="Times New Roman" w:hAnsi="Times New Roman" w:cs="Times New Roman"/>
          <w:sz w:val="24"/>
          <w:szCs w:val="24"/>
        </w:rPr>
        <w:t xml:space="preserve"> the</w:t>
      </w:r>
      <w:r w:rsidR="00715058">
        <w:rPr>
          <w:rFonts w:ascii="Times New Roman" w:eastAsia="Times New Roman" w:hAnsi="Times New Roman" w:cs="Times New Roman"/>
          <w:sz w:val="24"/>
          <w:szCs w:val="24"/>
        </w:rPr>
        <w:t xml:space="preserve"> 1%, 2.5% or 5% quantile. The indicators seek to distinguish when the stock and bond markets are in times of stress or extreme market conditions. </w:t>
      </w:r>
    </w:p>
    <w:p w:rsidR="00604013" w:rsidRPr="0016412D" w:rsidRDefault="00DE6453">
      <w:pPr>
        <w:spacing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gold, t</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stock, 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stock,t(q)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bond, t </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bond, 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t</m:t>
            </m:r>
          </m:sub>
        </m:sSub>
      </m:oMath>
      <w:r w:rsidR="0016412D">
        <w:rPr>
          <w:rFonts w:ascii="Times New Roman" w:eastAsia="Times New Roman" w:hAnsi="Times New Roman" w:cs="Times New Roman"/>
          <w:sz w:val="24"/>
          <w:szCs w:val="24"/>
        </w:rPr>
        <w:tab/>
      </w:r>
      <w:r w:rsidR="0016412D">
        <w:rPr>
          <w:rFonts w:ascii="Times New Roman" w:eastAsia="Times New Roman" w:hAnsi="Times New Roman" w:cs="Times New Roman"/>
          <w:sz w:val="24"/>
          <w:szCs w:val="24"/>
        </w:rPr>
        <w:tab/>
      </w:r>
      <w:r w:rsidR="0016412D">
        <w:rPr>
          <w:rFonts w:ascii="Times New Roman" w:eastAsia="Times New Roman" w:hAnsi="Times New Roman" w:cs="Times New Roman"/>
          <w:sz w:val="24"/>
          <w:szCs w:val="24"/>
        </w:rPr>
        <w:tab/>
        <w:t>(1)</w:t>
      </w:r>
    </w:p>
    <w:p w:rsidR="00FB3918" w:rsidRDefault="00715058" w:rsidP="006040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data, daily MSCI stock and bond returns and the U.S. closing spot gold returns are used. They assume that gold does not influence stock or bond prices and that the relationship between gold and equities and bond market changes dynamically over time. To allow for variation across time, the authors build a conditional variance estimation to model the error term e</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Ultimately, Baur and Lucey (2009) find that gold can be a safe-haven for equities but only for 15 days after an extreme market downswing.</w:t>
      </w:r>
    </w:p>
    <w:p w:rsidR="0016412D" w:rsidRDefault="0016412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Baur</w:t>
      </w:r>
      <w:r w:rsidR="00715058">
        <w:rPr>
          <w:rFonts w:ascii="Times New Roman" w:eastAsia="Times New Roman" w:hAnsi="Times New Roman" w:cs="Times New Roman"/>
          <w:sz w:val="24"/>
          <w:szCs w:val="24"/>
        </w:rPr>
        <w:t xml:space="preserve"> (2012) studies the asymmetric volatility in the gold market to </w:t>
      </w:r>
      <w:r w:rsidR="003F3A51">
        <w:rPr>
          <w:rFonts w:ascii="Times New Roman" w:eastAsia="Times New Roman" w:hAnsi="Times New Roman" w:cs="Times New Roman"/>
          <w:sz w:val="24"/>
          <w:szCs w:val="24"/>
        </w:rPr>
        <w:t>further</w:t>
      </w:r>
      <w:r w:rsidR="00715058">
        <w:rPr>
          <w:rFonts w:ascii="Times New Roman" w:eastAsia="Times New Roman" w:hAnsi="Times New Roman" w:cs="Times New Roman"/>
          <w:sz w:val="24"/>
          <w:szCs w:val="24"/>
        </w:rPr>
        <w:t xml:space="preserve"> analyze if gold adequately acts as a safe-haven in times of turmoil. Asymmetric volatility models typically measure how volatility changes with respect </w:t>
      </w:r>
      <w:r w:rsidR="00E558F0">
        <w:rPr>
          <w:rFonts w:ascii="Times New Roman" w:eastAsia="Times New Roman" w:hAnsi="Times New Roman" w:cs="Times New Roman"/>
          <w:sz w:val="24"/>
          <w:szCs w:val="24"/>
        </w:rPr>
        <w:t xml:space="preserve">to </w:t>
      </w:r>
      <w:r w:rsidR="00715058">
        <w:rPr>
          <w:rFonts w:ascii="Times New Roman" w:eastAsia="Times New Roman" w:hAnsi="Times New Roman" w:cs="Times New Roman"/>
          <w:sz w:val="24"/>
          <w:szCs w:val="24"/>
        </w:rPr>
        <w:t xml:space="preserve">positive or negative innovations in the first moment. In the context of equities, these models evaluate how the volatility for the returns of a stock change when the return is negative or positive – essentially measuring the effect of bad news and good news on volatility. In the literature, the presence of volatility asymmetry for equities is well documented, and many authors find that volatility increases as negative returns increase. </w:t>
      </w:r>
    </w:p>
    <w:p w:rsidR="00FB3918" w:rsidRDefault="0071505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explanations are given for this phenomenon: one is coined the leverage effect and the second is called volatility feedback effect. Black (1976) explains the leverage effect as when a firm realizes a decrease in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stock price</w:t>
      </w:r>
      <w:r w:rsidR="003F3A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F3A5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capital structure changes and volatility </w:t>
      </w:r>
      <w:r w:rsidR="003F3A51">
        <w:rPr>
          <w:rFonts w:ascii="Times New Roman" w:eastAsia="Times New Roman" w:hAnsi="Times New Roman" w:cs="Times New Roman"/>
          <w:sz w:val="24"/>
          <w:szCs w:val="24"/>
        </w:rPr>
        <w:t>increase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Campbell (1992) conjectures that when </w:t>
      </w:r>
      <w:r w:rsidR="00773009">
        <w:rPr>
          <w:rFonts w:ascii="Times New Roman" w:eastAsia="Times New Roman" w:hAnsi="Times New Roman" w:cs="Times New Roman"/>
          <w:sz w:val="24"/>
          <w:szCs w:val="24"/>
        </w:rPr>
        <w:t xml:space="preserve">information from </w:t>
      </w:r>
      <w:r>
        <w:rPr>
          <w:rFonts w:ascii="Times New Roman" w:eastAsia="Times New Roman" w:hAnsi="Times New Roman" w:cs="Times New Roman"/>
          <w:sz w:val="24"/>
          <w:szCs w:val="24"/>
        </w:rPr>
        <w:t>any major news</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good or bad</w:t>
      </w:r>
      <w:r w:rsidR="007730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73009">
        <w:rPr>
          <w:rFonts w:ascii="Times New Roman" w:eastAsia="Times New Roman" w:hAnsi="Times New Roman" w:cs="Times New Roman"/>
          <w:sz w:val="24"/>
          <w:szCs w:val="24"/>
        </w:rPr>
        <w:t xml:space="preserve">disseminates into the market, </w:t>
      </w:r>
      <w:r>
        <w:rPr>
          <w:rFonts w:ascii="Times New Roman" w:eastAsia="Times New Roman" w:hAnsi="Times New Roman" w:cs="Times New Roman"/>
          <w:sz w:val="24"/>
          <w:szCs w:val="24"/>
        </w:rPr>
        <w:t>volatility increases and when volatility increases</w:t>
      </w:r>
      <w:r w:rsidR="00FF1F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price of the stock decrease</w:t>
      </w:r>
      <w:r w:rsidR="00FF1F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Understanding this, </w:t>
      </w:r>
      <w:r w:rsidR="0016412D">
        <w:rPr>
          <w:rFonts w:ascii="Times New Roman" w:eastAsia="Times New Roman" w:hAnsi="Times New Roman" w:cs="Times New Roman"/>
          <w:sz w:val="24"/>
          <w:szCs w:val="24"/>
        </w:rPr>
        <w:t>Baur</w:t>
      </w:r>
      <w:r>
        <w:rPr>
          <w:rFonts w:ascii="Times New Roman" w:eastAsia="Times New Roman" w:hAnsi="Times New Roman" w:cs="Times New Roman"/>
          <w:sz w:val="24"/>
          <w:szCs w:val="24"/>
        </w:rPr>
        <w:t xml:space="preserve"> (2012) models an asymmetric GARCH model to see how gold behaves </w:t>
      </w:r>
      <w:r w:rsidR="00D015CC">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asymmetric return-volatility relationship observed in the equities markets. </w:t>
      </w:r>
      <w:r w:rsidR="0016412D">
        <w:rPr>
          <w:rFonts w:ascii="Times New Roman" w:eastAsia="Times New Roman" w:hAnsi="Times New Roman" w:cs="Times New Roman"/>
          <w:sz w:val="24"/>
          <w:szCs w:val="24"/>
        </w:rPr>
        <w:t>Baur</w:t>
      </w:r>
      <w:r>
        <w:rPr>
          <w:rFonts w:ascii="Times New Roman" w:eastAsia="Times New Roman" w:hAnsi="Times New Roman" w:cs="Times New Roman"/>
          <w:sz w:val="24"/>
          <w:szCs w:val="24"/>
        </w:rPr>
        <w:t xml:space="preserve"> finds that there is an inverted asymmetric relationship between gold returns and </w:t>
      </w:r>
      <w:r>
        <w:rPr>
          <w:rFonts w:ascii="Times New Roman" w:eastAsia="Times New Roman" w:hAnsi="Times New Roman" w:cs="Times New Roman"/>
          <w:sz w:val="24"/>
          <w:szCs w:val="24"/>
        </w:rPr>
        <w:lastRenderedPageBreak/>
        <w:t xml:space="preserve">volatility which asserts that when gold returns are low, volatility is low and when gold returns are high, volatility is high. </w:t>
      </w:r>
    </w:p>
    <w:p w:rsidR="00916145" w:rsidRDefault="00433F75" w:rsidP="0091614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equity space, </w:t>
      </w:r>
      <w:proofErr w:type="spellStart"/>
      <w:r>
        <w:rPr>
          <w:rFonts w:ascii="Times New Roman" w:eastAsia="Times New Roman" w:hAnsi="Times New Roman" w:cs="Times New Roman"/>
          <w:color w:val="000000"/>
          <w:sz w:val="24"/>
          <w:szCs w:val="24"/>
        </w:rPr>
        <w:t>Depken</w:t>
      </w:r>
      <w:proofErr w:type="spellEnd"/>
      <w:r>
        <w:rPr>
          <w:rFonts w:ascii="Times New Roman" w:eastAsia="Times New Roman" w:hAnsi="Times New Roman" w:cs="Times New Roman"/>
          <w:color w:val="000000"/>
          <w:sz w:val="24"/>
          <w:szCs w:val="24"/>
        </w:rPr>
        <w:t xml:space="preserve"> (2001) </w:t>
      </w:r>
      <w:r w:rsidR="0016412D">
        <w:rPr>
          <w:rFonts w:ascii="Times New Roman" w:eastAsia="Times New Roman" w:hAnsi="Times New Roman" w:cs="Times New Roman"/>
          <w:color w:val="000000"/>
          <w:sz w:val="24"/>
          <w:szCs w:val="24"/>
        </w:rPr>
        <w:t xml:space="preserve">follow Lamoureux and </w:t>
      </w:r>
      <w:proofErr w:type="spellStart"/>
      <w:r w:rsidR="0016412D">
        <w:rPr>
          <w:rFonts w:ascii="Times New Roman" w:eastAsia="Times New Roman" w:hAnsi="Times New Roman" w:cs="Times New Roman"/>
          <w:color w:val="000000"/>
          <w:sz w:val="24"/>
          <w:szCs w:val="24"/>
        </w:rPr>
        <w:t>Lastrapes</w:t>
      </w:r>
      <w:proofErr w:type="spellEnd"/>
      <w:r w:rsidR="0016412D">
        <w:rPr>
          <w:rFonts w:ascii="Times New Roman" w:eastAsia="Times New Roman" w:hAnsi="Times New Roman" w:cs="Times New Roman"/>
          <w:color w:val="000000"/>
          <w:sz w:val="24"/>
          <w:szCs w:val="24"/>
        </w:rPr>
        <w:t xml:space="preserve"> (1990) </w:t>
      </w:r>
      <w:r w:rsidR="00CB3931">
        <w:rPr>
          <w:rFonts w:ascii="Times New Roman" w:eastAsia="Times New Roman" w:hAnsi="Times New Roman" w:cs="Times New Roman"/>
          <w:color w:val="000000"/>
          <w:sz w:val="24"/>
          <w:szCs w:val="24"/>
        </w:rPr>
        <w:t xml:space="preserve">to model the volatility of stocks using volume data. He </w:t>
      </w:r>
      <w:r>
        <w:rPr>
          <w:rFonts w:ascii="Times New Roman" w:eastAsia="Times New Roman" w:hAnsi="Times New Roman" w:cs="Times New Roman"/>
          <w:color w:val="000000"/>
          <w:sz w:val="24"/>
          <w:szCs w:val="24"/>
        </w:rPr>
        <w:t>analyzes the</w:t>
      </w:r>
      <w:r w:rsidR="00CB39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effect of good and bad </w:t>
      </w:r>
      <w:r w:rsidR="00CB3931">
        <w:rPr>
          <w:rFonts w:ascii="Times New Roman" w:eastAsia="Times New Roman" w:hAnsi="Times New Roman" w:cs="Times New Roman"/>
          <w:color w:val="000000"/>
          <w:sz w:val="24"/>
          <w:szCs w:val="24"/>
        </w:rPr>
        <w:t>news on</w:t>
      </w:r>
      <w:r>
        <w:rPr>
          <w:rFonts w:ascii="Times New Roman" w:eastAsia="Times New Roman" w:hAnsi="Times New Roman" w:cs="Times New Roman"/>
          <w:color w:val="000000"/>
          <w:sz w:val="24"/>
          <w:szCs w:val="24"/>
        </w:rPr>
        <w:t xml:space="preserve"> explaining the volatility of</w:t>
      </w:r>
      <w:r w:rsidR="0091614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10 </w:t>
      </w:r>
      <w:r w:rsidR="00CB3931">
        <w:rPr>
          <w:rFonts w:ascii="Times New Roman" w:eastAsia="Times New Roman" w:hAnsi="Times New Roman" w:cs="Times New Roman"/>
          <w:color w:val="000000"/>
          <w:sz w:val="24"/>
          <w:szCs w:val="24"/>
        </w:rPr>
        <w:t>recently split</w:t>
      </w:r>
      <w:r>
        <w:rPr>
          <w:rFonts w:ascii="Times New Roman" w:eastAsia="Times New Roman" w:hAnsi="Times New Roman" w:cs="Times New Roman"/>
          <w:color w:val="000000"/>
          <w:sz w:val="24"/>
          <w:szCs w:val="24"/>
        </w:rPr>
        <w:t xml:space="preserve"> stock</w:t>
      </w:r>
      <w:r w:rsidR="00916145">
        <w:rPr>
          <w:rFonts w:ascii="Times New Roman" w:eastAsia="Times New Roman" w:hAnsi="Times New Roman" w:cs="Times New Roman"/>
          <w:color w:val="000000"/>
          <w:sz w:val="24"/>
          <w:szCs w:val="24"/>
        </w:rPr>
        <w:t xml:space="preserve"> return series</w:t>
      </w:r>
      <w:r w:rsidR="00DC12E0">
        <w:rPr>
          <w:rFonts w:ascii="Times New Roman" w:eastAsia="Times New Roman" w:hAnsi="Times New Roman" w:cs="Times New Roman"/>
          <w:color w:val="000000"/>
          <w:sz w:val="24"/>
          <w:szCs w:val="24"/>
        </w:rPr>
        <w:t>.  Using a novel method to decompose volume data into a positive and negative feedback signal</w:t>
      </w:r>
      <w:r w:rsidR="00916145">
        <w:rPr>
          <w:rFonts w:ascii="Times New Roman" w:eastAsia="Times New Roman" w:hAnsi="Times New Roman" w:cs="Times New Roman"/>
          <w:color w:val="000000"/>
          <w:sz w:val="24"/>
          <w:szCs w:val="24"/>
        </w:rPr>
        <w:t>s</w:t>
      </w:r>
      <w:r w:rsidR="00DC12E0">
        <w:rPr>
          <w:rFonts w:ascii="Times New Roman" w:eastAsia="Times New Roman" w:hAnsi="Times New Roman" w:cs="Times New Roman"/>
          <w:color w:val="000000"/>
          <w:sz w:val="24"/>
          <w:szCs w:val="24"/>
        </w:rPr>
        <w:t>, he explores if there is a</w:t>
      </w:r>
      <w:r w:rsidR="00916145">
        <w:rPr>
          <w:rFonts w:ascii="Times New Roman" w:eastAsia="Times New Roman" w:hAnsi="Times New Roman" w:cs="Times New Roman"/>
          <w:color w:val="000000"/>
          <w:sz w:val="24"/>
          <w:szCs w:val="24"/>
        </w:rPr>
        <w:t>n</w:t>
      </w:r>
      <w:r w:rsidR="00DC12E0">
        <w:rPr>
          <w:rFonts w:ascii="Times New Roman" w:eastAsia="Times New Roman" w:hAnsi="Times New Roman" w:cs="Times New Roman"/>
          <w:color w:val="000000"/>
          <w:sz w:val="24"/>
          <w:szCs w:val="24"/>
        </w:rPr>
        <w:t xml:space="preserve"> </w:t>
      </w:r>
      <w:r w:rsidR="00916145">
        <w:rPr>
          <w:rFonts w:ascii="Times New Roman" w:eastAsia="Times New Roman" w:hAnsi="Times New Roman" w:cs="Times New Roman"/>
          <w:color w:val="000000"/>
          <w:sz w:val="24"/>
          <w:szCs w:val="24"/>
        </w:rPr>
        <w:t>asymmetric relationship between these signals and finds that they have more explanatory power than simply using volume data.</w:t>
      </w:r>
      <w:r w:rsidR="00916145" w:rsidRPr="00916145">
        <w:rPr>
          <w:rFonts w:ascii="Times New Roman" w:eastAsia="Times New Roman" w:hAnsi="Times New Roman" w:cs="Times New Roman"/>
          <w:color w:val="000000"/>
          <w:sz w:val="24"/>
          <w:szCs w:val="24"/>
        </w:rPr>
        <w:t xml:space="preserve"> </w:t>
      </w:r>
      <w:proofErr w:type="spellStart"/>
      <w:r w:rsidR="00916145">
        <w:rPr>
          <w:rFonts w:ascii="Times New Roman" w:eastAsia="Times New Roman" w:hAnsi="Times New Roman" w:cs="Times New Roman"/>
          <w:color w:val="000000"/>
          <w:sz w:val="24"/>
          <w:szCs w:val="24"/>
        </w:rPr>
        <w:t>Depken</w:t>
      </w:r>
      <w:proofErr w:type="spellEnd"/>
      <w:r w:rsidR="00916145">
        <w:rPr>
          <w:rFonts w:ascii="Times New Roman" w:eastAsia="Times New Roman" w:hAnsi="Times New Roman" w:cs="Times New Roman"/>
          <w:color w:val="000000"/>
          <w:sz w:val="24"/>
          <w:szCs w:val="24"/>
        </w:rPr>
        <w:t xml:space="preserve"> (2001) conjectures that younger stocks react asymmetrically to good news and older more established stocks react symmetrically.</w:t>
      </w:r>
    </w:p>
    <w:p w:rsidR="00405A7F" w:rsidRDefault="00715058" w:rsidP="00A46C2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Bitcoin has recently been declared a commodity</w:t>
      </w:r>
      <w:r w:rsidR="00BE193E">
        <w:rPr>
          <w:rFonts w:ascii="Times New Roman" w:eastAsia="Times New Roman" w:hAnsi="Times New Roman" w:cs="Times New Roman"/>
          <w:color w:val="000000"/>
          <w:sz w:val="24"/>
          <w:szCs w:val="24"/>
        </w:rPr>
        <w:t xml:space="preserve"> by the Chicago Board of Exchange</w:t>
      </w:r>
      <w:r>
        <w:rPr>
          <w:rFonts w:ascii="Times New Roman" w:eastAsia="Times New Roman" w:hAnsi="Times New Roman" w:cs="Times New Roman"/>
          <w:color w:val="000000"/>
          <w:sz w:val="24"/>
          <w:szCs w:val="24"/>
        </w:rPr>
        <w:t>, several recent papers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examine the safe-haven effect and ability of Bitcoin to hedge market volatility. </w:t>
      </w:r>
      <w:proofErr w:type="spellStart"/>
      <w:r w:rsidR="00BE193E">
        <w:rPr>
          <w:rFonts w:ascii="Times New Roman" w:eastAsia="Times New Roman" w:hAnsi="Times New Roman" w:cs="Times New Roman"/>
          <w:color w:val="000000"/>
          <w:sz w:val="24"/>
          <w:szCs w:val="24"/>
        </w:rPr>
        <w:t>Bouri</w:t>
      </w:r>
      <w:proofErr w:type="spellEnd"/>
      <w:r w:rsidR="00BE193E">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sidR="00BE193E">
        <w:rPr>
          <w:rFonts w:ascii="Times New Roman" w:eastAsia="Times New Roman" w:hAnsi="Times New Roman" w:cs="Times New Roman"/>
          <w:color w:val="000000"/>
          <w:sz w:val="24"/>
          <w:szCs w:val="24"/>
        </w:rPr>
        <w:t xml:space="preserve"> </w:t>
      </w:r>
      <w:proofErr w:type="spellStart"/>
      <w:r w:rsidR="00BE193E">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sidR="00BE193E">
        <w:rPr>
          <w:rFonts w:ascii="Times New Roman" w:eastAsia="Times New Roman" w:hAnsi="Times New Roman" w:cs="Times New Roman"/>
          <w:color w:val="000000"/>
          <w:sz w:val="24"/>
          <w:szCs w:val="24"/>
        </w:rPr>
        <w:t xml:space="preserve"> focus</w:t>
      </w:r>
      <w:r>
        <w:rPr>
          <w:rFonts w:ascii="Times New Roman" w:eastAsia="Times New Roman" w:hAnsi="Times New Roman" w:cs="Times New Roman"/>
          <w:color w:val="000000"/>
          <w:sz w:val="24"/>
          <w:szCs w:val="24"/>
        </w:rPr>
        <w:t xml:space="preserve"> on how the relationship between Bitcoin returns and the volatility of Bitcoin has changed after the large Bitcoin price crash in 2013. To estimate this relationship, they use an asymmetric GARCH model that measures the volatility in Bitcoin prices and how the volatility changes with the direction of shocks to the series. Estimation for this model relies on the maximum likelihood method. </w:t>
      </w:r>
    </w:p>
    <w:p w:rsidR="00BE193E" w:rsidRPr="00BE193E" w:rsidRDefault="00715058" w:rsidP="00A46C26">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finding that there is no statistical evidence that either direction of shocks has a larger magnitude over the other, they break the series into two pieces: before and after the price shock of 2013. According to their model, the return-volatility asymmetry coefficient is negative before 2013 and not statistically significant after 2013. To interpret this, </w:t>
      </w:r>
      <w:proofErr w:type="spellStart"/>
      <w:r>
        <w:rPr>
          <w:rFonts w:ascii="Times New Roman" w:eastAsia="Times New Roman" w:hAnsi="Times New Roman" w:cs="Times New Roman"/>
          <w:color w:val="000000"/>
          <w:sz w:val="24"/>
          <w:szCs w:val="24"/>
        </w:rPr>
        <w:t>Bouri</w:t>
      </w:r>
      <w:proofErr w:type="spellEnd"/>
      <w:r>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state: </w:t>
      </w:r>
      <w:r>
        <w:rPr>
          <w:rFonts w:ascii="Times New Roman" w:eastAsia="Times New Roman" w:hAnsi="Times New Roman" w:cs="Times New Roman"/>
          <w:color w:val="000000"/>
          <w:sz w:val="28"/>
          <w:szCs w:val="28"/>
        </w:rPr>
        <w:t>“</w:t>
      </w:r>
      <w:r w:rsidR="00405A7F">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f Bitcoin prices increase in periods of economic/financial turmoil, during which stock markets fall, investors purchase Bitcoin and transmit the increased uncertainty and volatility of </w:t>
      </w:r>
      <w:r>
        <w:rPr>
          <w:rFonts w:ascii="Times New Roman" w:eastAsia="Times New Roman" w:hAnsi="Times New Roman" w:cs="Times New Roman"/>
          <w:color w:val="000000"/>
          <w:sz w:val="24"/>
          <w:szCs w:val="24"/>
        </w:rPr>
        <w:lastRenderedPageBreak/>
        <w:t>the stock markets to the Bitcoin market.”</w:t>
      </w:r>
      <w:r w:rsidR="00405A7F">
        <w:rPr>
          <w:rFonts w:ascii="Times New Roman" w:eastAsia="Times New Roman" w:hAnsi="Times New Roman" w:cs="Times New Roman"/>
          <w:color w:val="000000"/>
          <w:sz w:val="24"/>
          <w:szCs w:val="24"/>
        </w:rPr>
        <w:t xml:space="preserve"> (Page 9 </w:t>
      </w:r>
      <w:proofErr w:type="spellStart"/>
      <w:r w:rsidR="00405A7F">
        <w:rPr>
          <w:rFonts w:ascii="Times New Roman" w:eastAsia="Times New Roman" w:hAnsi="Times New Roman" w:cs="Times New Roman"/>
          <w:color w:val="000000"/>
          <w:sz w:val="24"/>
          <w:szCs w:val="24"/>
        </w:rPr>
        <w:t>Bouri</w:t>
      </w:r>
      <w:proofErr w:type="spellEnd"/>
      <w:r w:rsidR="00405A7F">
        <w:rPr>
          <w:rFonts w:ascii="Times New Roman" w:eastAsia="Times New Roman" w:hAnsi="Times New Roman" w:cs="Times New Roman"/>
          <w:color w:val="000000"/>
          <w:sz w:val="24"/>
          <w:szCs w:val="24"/>
        </w:rPr>
        <w:t xml:space="preserve"> and </w:t>
      </w:r>
      <w:proofErr w:type="spellStart"/>
      <w:r w:rsidR="00405A7F">
        <w:rPr>
          <w:rFonts w:ascii="Times New Roman" w:eastAsia="Times New Roman" w:hAnsi="Times New Roman" w:cs="Times New Roman"/>
          <w:color w:val="000000"/>
          <w:sz w:val="24"/>
          <w:szCs w:val="24"/>
        </w:rPr>
        <w:t>Azzi</w:t>
      </w:r>
      <w:proofErr w:type="spellEnd"/>
      <w:r w:rsidR="00405A7F">
        <w:rPr>
          <w:rFonts w:ascii="Times New Roman" w:eastAsia="Times New Roman" w:hAnsi="Times New Roman" w:cs="Times New Roman"/>
          <w:color w:val="000000"/>
          <w:sz w:val="24"/>
          <w:szCs w:val="24"/>
        </w:rPr>
        <w:t xml:space="preserve"> (2016))</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To compare to equities, the same methods are employed to find the return-volatility relationship in the S</w:t>
      </w:r>
      <w:r w:rsidR="00405A7F">
        <w:rPr>
          <w:rFonts w:ascii="Times New Roman" w:eastAsia="Times New Roman" w:hAnsi="Times New Roman" w:cs="Times New Roman"/>
          <w:color w:val="000000"/>
          <w:sz w:val="24"/>
          <w:szCs w:val="24"/>
        </w:rPr>
        <w:t>&amp;</w:t>
      </w:r>
      <w:r>
        <w:rPr>
          <w:rFonts w:ascii="Times New Roman" w:eastAsia="Times New Roman" w:hAnsi="Times New Roman" w:cs="Times New Roman"/>
          <w:color w:val="000000"/>
          <w:sz w:val="24"/>
          <w:szCs w:val="24"/>
        </w:rPr>
        <w:t>P 500 index. Showing that the asymmetric return-volatility relationship is positive and statistically significant, they indicate that negative return shocks tend to signal stronger volatility which is the opposite of Bitcoin’s relationship. Further, with the information regarding Bitcoin’s return-volatility relationship to the S</w:t>
      </w:r>
      <w:r w:rsidR="00AC537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P500 index, a portfolio </w:t>
      </w:r>
      <w:r w:rsidR="00BE193E">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constructed of Bitcoin and the index is calculated. Ultimately, the portfolio achieves a lower risk for the same return with the addition of Bitcoin </w:t>
      </w:r>
      <w:r w:rsidR="00405A7F">
        <w:rPr>
          <w:rFonts w:ascii="Times New Roman" w:eastAsia="Times New Roman" w:hAnsi="Times New Roman" w:cs="Times New Roman"/>
          <w:color w:val="000000"/>
          <w:sz w:val="24"/>
          <w:szCs w:val="24"/>
        </w:rPr>
        <w:t>(</w:t>
      </w:r>
      <w:proofErr w:type="spellStart"/>
      <w:r w:rsidR="00405A7F">
        <w:rPr>
          <w:rFonts w:ascii="Times New Roman" w:eastAsia="Times New Roman" w:hAnsi="Times New Roman" w:cs="Times New Roman"/>
          <w:sz w:val="24"/>
          <w:szCs w:val="24"/>
        </w:rPr>
        <w:t>Bouri</w:t>
      </w:r>
      <w:proofErr w:type="spellEnd"/>
      <w:r w:rsidR="00405A7F">
        <w:rPr>
          <w:rFonts w:ascii="Times New Roman" w:eastAsia="Times New Roman" w:hAnsi="Times New Roman" w:cs="Times New Roman"/>
          <w:sz w:val="24"/>
          <w:szCs w:val="24"/>
        </w:rPr>
        <w:t xml:space="preserve"> and </w:t>
      </w:r>
      <w:proofErr w:type="spellStart"/>
      <w:r w:rsidR="00405A7F">
        <w:rPr>
          <w:rFonts w:ascii="Times New Roman" w:eastAsia="Times New Roman" w:hAnsi="Times New Roman" w:cs="Times New Roman"/>
          <w:sz w:val="24"/>
          <w:szCs w:val="24"/>
        </w:rPr>
        <w:t>Azzi</w:t>
      </w:r>
      <w:proofErr w:type="spellEnd"/>
      <w:r w:rsidR="00405A7F">
        <w:rPr>
          <w:rFonts w:ascii="Times New Roman" w:eastAsia="Times New Roman" w:hAnsi="Times New Roman" w:cs="Times New Roman"/>
          <w:sz w:val="24"/>
          <w:szCs w:val="24"/>
        </w:rPr>
        <w:t xml:space="preserve"> 2016).</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Data </w:t>
      </w:r>
    </w:p>
    <w:p w:rsidR="00FB3918" w:rsidRDefault="00715058" w:rsidP="00381F54">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this section, the data used in this study </w:t>
      </w:r>
      <w:r w:rsidR="00E96389">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described.</w:t>
      </w:r>
      <w:r w:rsidR="00A46C26">
        <w:rPr>
          <w:rFonts w:ascii="Times New Roman" w:eastAsia="Times New Roman" w:hAnsi="Times New Roman" w:cs="Times New Roman"/>
          <w:bCs/>
          <w:color w:val="000000"/>
          <w:sz w:val="24"/>
          <w:szCs w:val="24"/>
        </w:rPr>
        <w:t xml:space="preserve"> Analyses are broken into several times series to </w:t>
      </w:r>
      <w:r w:rsidR="00381F54">
        <w:rPr>
          <w:rFonts w:ascii="Times New Roman" w:eastAsia="Times New Roman" w:hAnsi="Times New Roman" w:cs="Times New Roman"/>
          <w:bCs/>
          <w:color w:val="000000"/>
          <w:sz w:val="24"/>
          <w:szCs w:val="24"/>
        </w:rPr>
        <w:t xml:space="preserve">highlight </w:t>
      </w:r>
      <w:r w:rsidR="00A46C26">
        <w:rPr>
          <w:rFonts w:ascii="Times New Roman" w:eastAsia="Times New Roman" w:hAnsi="Times New Roman" w:cs="Times New Roman"/>
          <w:bCs/>
          <w:color w:val="000000"/>
          <w:sz w:val="24"/>
          <w:szCs w:val="24"/>
        </w:rPr>
        <w:t xml:space="preserve">the changing nature </w:t>
      </w:r>
      <w:r w:rsidR="00381F54">
        <w:rPr>
          <w:rFonts w:ascii="Times New Roman" w:eastAsia="Times New Roman" w:hAnsi="Times New Roman" w:cs="Times New Roman"/>
          <w:bCs/>
          <w:color w:val="000000"/>
          <w:sz w:val="24"/>
          <w:szCs w:val="24"/>
        </w:rPr>
        <w:t xml:space="preserve">that </w:t>
      </w:r>
      <w:proofErr w:type="spellStart"/>
      <w:r w:rsidR="00405A7F">
        <w:rPr>
          <w:rFonts w:ascii="Times New Roman" w:eastAsia="Times New Roman" w:hAnsi="Times New Roman" w:cs="Times New Roman"/>
          <w:sz w:val="24"/>
          <w:szCs w:val="24"/>
        </w:rPr>
        <w:t>Bouri</w:t>
      </w:r>
      <w:proofErr w:type="spellEnd"/>
      <w:r w:rsidR="00405A7F">
        <w:rPr>
          <w:rFonts w:ascii="Times New Roman" w:eastAsia="Times New Roman" w:hAnsi="Times New Roman" w:cs="Times New Roman"/>
          <w:sz w:val="24"/>
          <w:szCs w:val="24"/>
        </w:rPr>
        <w:t xml:space="preserve"> and </w:t>
      </w:r>
      <w:proofErr w:type="spellStart"/>
      <w:r w:rsidR="00405A7F">
        <w:rPr>
          <w:rFonts w:ascii="Times New Roman" w:eastAsia="Times New Roman" w:hAnsi="Times New Roman" w:cs="Times New Roman"/>
          <w:sz w:val="24"/>
          <w:szCs w:val="24"/>
        </w:rPr>
        <w:t>Azzi</w:t>
      </w:r>
      <w:proofErr w:type="spellEnd"/>
      <w:r w:rsidR="00405A7F">
        <w:rPr>
          <w:rFonts w:ascii="Times New Roman" w:eastAsia="Times New Roman" w:hAnsi="Times New Roman" w:cs="Times New Roman"/>
          <w:sz w:val="24"/>
          <w:szCs w:val="24"/>
        </w:rPr>
        <w:t xml:space="preserve"> (2016) </w:t>
      </w:r>
      <w:r w:rsidR="00A46C26">
        <w:rPr>
          <w:rFonts w:ascii="Times New Roman" w:eastAsia="Times New Roman" w:hAnsi="Times New Roman" w:cs="Times New Roman"/>
          <w:bCs/>
          <w:color w:val="000000"/>
          <w:sz w:val="24"/>
          <w:szCs w:val="24"/>
        </w:rPr>
        <w:t>had observed in safe-haven effects for Bitcoin.</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The total series is from </w:t>
      </w:r>
      <w:r>
        <w:rPr>
          <w:rFonts w:ascii="Times New Roman" w:eastAsia="Times New Roman" w:hAnsi="Times New Roman" w:cs="Times New Roman"/>
          <w:bCs/>
          <w:color w:val="000000"/>
          <w:sz w:val="24"/>
          <w:szCs w:val="24"/>
        </w:rPr>
        <w:t>December 12</w:t>
      </w:r>
      <w:r>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2017 </w:t>
      </w:r>
      <w:r w:rsidR="00381F54">
        <w:rPr>
          <w:rFonts w:ascii="Times New Roman" w:eastAsia="Times New Roman" w:hAnsi="Times New Roman" w:cs="Times New Roman"/>
          <w:bCs/>
          <w:color w:val="000000"/>
          <w:sz w:val="24"/>
          <w:szCs w:val="24"/>
        </w:rPr>
        <w:t>to September 14</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for a total of 191 observations. This is broken </w:t>
      </w:r>
      <w:r w:rsidR="009F6082">
        <w:rPr>
          <w:rFonts w:ascii="Times New Roman" w:eastAsia="Times New Roman" w:hAnsi="Times New Roman" w:cs="Times New Roman"/>
          <w:bCs/>
          <w:color w:val="000000"/>
          <w:sz w:val="24"/>
          <w:szCs w:val="24"/>
        </w:rPr>
        <w:t xml:space="preserve">into </w:t>
      </w:r>
      <w:r w:rsidR="00EA7C7F">
        <w:rPr>
          <w:rFonts w:ascii="Times New Roman" w:eastAsia="Times New Roman" w:hAnsi="Times New Roman" w:cs="Times New Roman"/>
          <w:bCs/>
          <w:color w:val="000000"/>
          <w:sz w:val="24"/>
          <w:szCs w:val="24"/>
        </w:rPr>
        <w:t>a smaller</w:t>
      </w:r>
      <w:r w:rsidR="00381F54">
        <w:rPr>
          <w:rFonts w:ascii="Times New Roman" w:eastAsia="Times New Roman" w:hAnsi="Times New Roman" w:cs="Times New Roman"/>
          <w:bCs/>
          <w:color w:val="000000"/>
          <w:sz w:val="24"/>
          <w:szCs w:val="24"/>
        </w:rPr>
        <w:t xml:space="preserve"> subset to compare a time of turmoil to a more stable market environment. The time of turmoil </w:t>
      </w:r>
      <w:r w:rsidR="001359C0">
        <w:rPr>
          <w:rFonts w:ascii="Times New Roman" w:eastAsia="Times New Roman" w:hAnsi="Times New Roman" w:cs="Times New Roman"/>
          <w:bCs/>
          <w:color w:val="000000"/>
          <w:sz w:val="24"/>
          <w:szCs w:val="24"/>
        </w:rPr>
        <w:t>is</w:t>
      </w:r>
      <w:r>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December 12</w:t>
      </w:r>
      <w:r w:rsid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2017 to March 9</w:t>
      </w:r>
      <w:r w:rsidR="00381F54" w:rsidRPr="00381F54">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381F54">
        <w:rPr>
          <w:rFonts w:ascii="Times New Roman" w:eastAsia="Times New Roman" w:hAnsi="Times New Roman" w:cs="Times New Roman"/>
          <w:bCs/>
          <w:color w:val="000000"/>
          <w:sz w:val="24"/>
          <w:szCs w:val="24"/>
        </w:rPr>
        <w:t xml:space="preserve">2018 where most </w:t>
      </w:r>
      <w:r w:rsidR="00412E49">
        <w:rPr>
          <w:rFonts w:ascii="Times New Roman" w:eastAsia="Times New Roman" w:hAnsi="Times New Roman" w:cs="Times New Roman"/>
          <w:bCs/>
          <w:color w:val="000000"/>
          <w:sz w:val="24"/>
          <w:szCs w:val="24"/>
        </w:rPr>
        <w:t xml:space="preserve">of the Bitcoin </w:t>
      </w:r>
      <w:r w:rsidR="00E96389">
        <w:rPr>
          <w:rFonts w:ascii="Times New Roman" w:eastAsia="Times New Roman" w:hAnsi="Times New Roman" w:cs="Times New Roman"/>
          <w:bCs/>
          <w:color w:val="000000"/>
          <w:sz w:val="24"/>
          <w:szCs w:val="24"/>
        </w:rPr>
        <w:t>f</w:t>
      </w:r>
      <w:r w:rsidR="00412E49">
        <w:rPr>
          <w:rFonts w:ascii="Times New Roman" w:eastAsia="Times New Roman" w:hAnsi="Times New Roman" w:cs="Times New Roman"/>
          <w:bCs/>
          <w:color w:val="000000"/>
          <w:sz w:val="24"/>
          <w:szCs w:val="24"/>
        </w:rPr>
        <w:t xml:space="preserve">utures and </w:t>
      </w:r>
      <w:r w:rsidR="00E96389">
        <w:rPr>
          <w:rFonts w:ascii="Times New Roman" w:eastAsia="Times New Roman" w:hAnsi="Times New Roman" w:cs="Times New Roman"/>
          <w:bCs/>
          <w:color w:val="000000"/>
          <w:sz w:val="24"/>
          <w:szCs w:val="24"/>
        </w:rPr>
        <w:t>s</w:t>
      </w:r>
      <w:r w:rsidR="00412E49">
        <w:rPr>
          <w:rFonts w:ascii="Times New Roman" w:eastAsia="Times New Roman" w:hAnsi="Times New Roman" w:cs="Times New Roman"/>
          <w:bCs/>
          <w:color w:val="000000"/>
          <w:sz w:val="24"/>
          <w:szCs w:val="24"/>
        </w:rPr>
        <w:t xml:space="preserve">tock market variability </w:t>
      </w:r>
      <w:r w:rsidR="00E96389">
        <w:rPr>
          <w:rFonts w:ascii="Times New Roman" w:eastAsia="Times New Roman" w:hAnsi="Times New Roman" w:cs="Times New Roman"/>
          <w:bCs/>
          <w:color w:val="000000"/>
          <w:sz w:val="24"/>
          <w:szCs w:val="24"/>
        </w:rPr>
        <w:t>occur</w:t>
      </w:r>
      <w:r w:rsidR="00412E49">
        <w:rPr>
          <w:rFonts w:ascii="Times New Roman" w:eastAsia="Times New Roman" w:hAnsi="Times New Roman" w:cs="Times New Roman"/>
          <w:bCs/>
          <w:color w:val="000000"/>
          <w:sz w:val="24"/>
          <w:szCs w:val="24"/>
        </w:rPr>
        <w:t>.</w:t>
      </w:r>
      <w:r w:rsidR="00CD0118">
        <w:rPr>
          <w:rFonts w:ascii="Times New Roman" w:eastAsia="Times New Roman" w:hAnsi="Times New Roman" w:cs="Times New Roman"/>
          <w:bCs/>
          <w:color w:val="000000"/>
          <w:sz w:val="24"/>
          <w:szCs w:val="24"/>
        </w:rPr>
        <w:t xml:space="preserve"> </w:t>
      </w:r>
      <w:r w:rsidR="00E96389">
        <w:rPr>
          <w:rFonts w:ascii="Times New Roman" w:eastAsia="Times New Roman" w:hAnsi="Times New Roman" w:cs="Times New Roman"/>
          <w:bCs/>
          <w:color w:val="000000"/>
          <w:sz w:val="24"/>
          <w:szCs w:val="24"/>
        </w:rPr>
        <w:t xml:space="preserve">The data from </w:t>
      </w:r>
      <w:r w:rsidR="00CD0118">
        <w:rPr>
          <w:rFonts w:ascii="Times New Roman" w:eastAsia="Times New Roman" w:hAnsi="Times New Roman" w:cs="Times New Roman"/>
          <w:bCs/>
          <w:color w:val="000000"/>
          <w:sz w:val="24"/>
          <w:szCs w:val="24"/>
        </w:rPr>
        <w:t>March 9</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 to September 14</w:t>
      </w:r>
      <w:r w:rsidR="00CD0118" w:rsidRPr="00CD0118">
        <w:rPr>
          <w:rFonts w:ascii="Times New Roman" w:eastAsia="Times New Roman" w:hAnsi="Times New Roman" w:cs="Times New Roman"/>
          <w:bCs/>
          <w:color w:val="000000"/>
          <w:sz w:val="24"/>
          <w:szCs w:val="24"/>
          <w:vertAlign w:val="superscript"/>
        </w:rPr>
        <w:t>th</w:t>
      </w:r>
      <w:r w:rsidR="001359C0">
        <w:rPr>
          <w:rFonts w:ascii="Times New Roman" w:eastAsia="Times New Roman" w:hAnsi="Times New Roman" w:cs="Times New Roman"/>
          <w:bCs/>
          <w:color w:val="000000"/>
          <w:sz w:val="24"/>
          <w:szCs w:val="24"/>
        </w:rPr>
        <w:t xml:space="preserve">, </w:t>
      </w:r>
      <w:r w:rsidR="00CD0118">
        <w:rPr>
          <w:rFonts w:ascii="Times New Roman" w:eastAsia="Times New Roman" w:hAnsi="Times New Roman" w:cs="Times New Roman"/>
          <w:bCs/>
          <w:color w:val="000000"/>
          <w:sz w:val="24"/>
          <w:szCs w:val="24"/>
        </w:rPr>
        <w:t>2018</w:t>
      </w:r>
      <w:r w:rsidR="00E96389">
        <w:rPr>
          <w:rFonts w:ascii="Times New Roman" w:eastAsia="Times New Roman" w:hAnsi="Times New Roman" w:cs="Times New Roman"/>
          <w:bCs/>
          <w:color w:val="000000"/>
          <w:sz w:val="24"/>
          <w:szCs w:val="24"/>
        </w:rPr>
        <w:t xml:space="preserve"> show signs of less extreme swings </w:t>
      </w:r>
      <w:r w:rsidR="00405A7F">
        <w:rPr>
          <w:rFonts w:ascii="Times New Roman" w:eastAsia="Times New Roman" w:hAnsi="Times New Roman" w:cs="Times New Roman"/>
          <w:bCs/>
          <w:color w:val="000000"/>
          <w:sz w:val="24"/>
          <w:szCs w:val="24"/>
        </w:rPr>
        <w:t>which reflect what might be considered</w:t>
      </w:r>
      <w:r w:rsidR="00CD0118">
        <w:rPr>
          <w:rFonts w:ascii="Times New Roman" w:eastAsia="Times New Roman" w:hAnsi="Times New Roman" w:cs="Times New Roman"/>
          <w:bCs/>
          <w:color w:val="000000"/>
          <w:sz w:val="24"/>
          <w:szCs w:val="24"/>
        </w:rPr>
        <w:t xml:space="preserve"> normal market condition.</w:t>
      </w:r>
    </w:p>
    <w:p w:rsidR="00FB3918" w:rsidRDefault="0071505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Bitcoin futures prices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daily closing prices listed on the CBOE website for each monthly Bitcoin </w:t>
      </w:r>
      <w:r w:rsidR="00E96389">
        <w:rPr>
          <w:rFonts w:ascii="Times New Roman" w:eastAsia="Times New Roman" w:hAnsi="Times New Roman" w:cs="Times New Roman"/>
          <w:bCs/>
          <w:color w:val="000000"/>
          <w:sz w:val="24"/>
          <w:szCs w:val="24"/>
        </w:rPr>
        <w:t>f</w:t>
      </w:r>
      <w:r>
        <w:rPr>
          <w:rFonts w:ascii="Times New Roman" w:eastAsia="Times New Roman" w:hAnsi="Times New Roman" w:cs="Times New Roman"/>
          <w:bCs/>
          <w:color w:val="000000"/>
          <w:sz w:val="24"/>
          <w:szCs w:val="24"/>
        </w:rPr>
        <w:t xml:space="preserve">uture contract. These prices represent the closing price as of 4:00pm EST and are only published on weekdays during market hours. As the futures settle monthly, a price index is constructed to represent a continuous price of the futures by taking the price of the contract closest to the most recent settlement date. The futures contracts are linked to the underlying price of Bitcoin as determined in the </w:t>
      </w:r>
      <w:proofErr w:type="spellStart"/>
      <w:r>
        <w:rPr>
          <w:rFonts w:ascii="Times New Roman" w:eastAsia="Times New Roman" w:hAnsi="Times New Roman" w:cs="Times New Roman"/>
          <w:bCs/>
          <w:color w:val="000000"/>
          <w:sz w:val="24"/>
          <w:szCs w:val="24"/>
        </w:rPr>
        <w:t>Gemni</w:t>
      </w:r>
      <w:proofErr w:type="spellEnd"/>
      <w:r>
        <w:rPr>
          <w:rFonts w:ascii="Times New Roman" w:eastAsia="Times New Roman" w:hAnsi="Times New Roman" w:cs="Times New Roman"/>
          <w:bCs/>
          <w:color w:val="000000"/>
          <w:sz w:val="24"/>
          <w:szCs w:val="24"/>
        </w:rPr>
        <w:t xml:space="preserve"> exchange. </w:t>
      </w:r>
    </w:p>
    <w:p w:rsidR="00FB3918" w:rsidRDefault="00715058" w:rsidP="00405A7F">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S</w:t>
      </w:r>
      <w:r w:rsidR="0016412D">
        <w:rPr>
          <w:rFonts w:ascii="Times New Roman" w:eastAsia="Times New Roman" w:hAnsi="Times New Roman" w:cs="Times New Roman"/>
          <w:bCs/>
          <w:color w:val="000000"/>
          <w:sz w:val="24"/>
          <w:szCs w:val="24"/>
        </w:rPr>
        <w:t>&amp;</w:t>
      </w:r>
      <w:r>
        <w:rPr>
          <w:rFonts w:ascii="Times New Roman" w:eastAsia="Times New Roman" w:hAnsi="Times New Roman" w:cs="Times New Roman"/>
          <w:bCs/>
          <w:color w:val="000000"/>
          <w:sz w:val="24"/>
          <w:szCs w:val="24"/>
        </w:rPr>
        <w:t>P 500 index</w:t>
      </w:r>
      <w:r w:rsidR="009F6082">
        <w:rPr>
          <w:rFonts w:ascii="Times New Roman" w:eastAsia="Times New Roman" w:hAnsi="Times New Roman" w:cs="Times New Roman"/>
          <w:bCs/>
          <w:color w:val="000000"/>
          <w:sz w:val="24"/>
          <w:szCs w:val="24"/>
        </w:rPr>
        <w:t>, CBOE VIX, and SPDR GOLD ETF</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data</w:t>
      </w:r>
      <w:r>
        <w:rPr>
          <w:rFonts w:ascii="Times New Roman" w:eastAsia="Times New Roman" w:hAnsi="Times New Roman" w:cs="Times New Roman"/>
          <w:bCs/>
          <w:color w:val="000000"/>
          <w:sz w:val="24"/>
          <w:szCs w:val="24"/>
        </w:rPr>
        <w:t xml:space="preserve"> </w:t>
      </w:r>
      <w:r w:rsidR="009F6082">
        <w:rPr>
          <w:rFonts w:ascii="Times New Roman" w:eastAsia="Times New Roman" w:hAnsi="Times New Roman" w:cs="Times New Roman"/>
          <w:bCs/>
          <w:color w:val="000000"/>
          <w:sz w:val="24"/>
          <w:szCs w:val="24"/>
        </w:rPr>
        <w:t>were obtained</w:t>
      </w:r>
      <w:r>
        <w:rPr>
          <w:rFonts w:ascii="Times New Roman" w:eastAsia="Times New Roman" w:hAnsi="Times New Roman" w:cs="Times New Roman"/>
          <w:bCs/>
          <w:color w:val="000000"/>
          <w:sz w:val="24"/>
          <w:szCs w:val="24"/>
        </w:rPr>
        <w:t xml:space="preserve"> from </w:t>
      </w:r>
      <w:r w:rsidR="009F6082">
        <w:rPr>
          <w:rFonts w:ascii="Times New Roman" w:eastAsia="Times New Roman" w:hAnsi="Times New Roman" w:cs="Times New Roman"/>
          <w:bCs/>
          <w:color w:val="000000"/>
          <w:sz w:val="24"/>
          <w:szCs w:val="24"/>
        </w:rPr>
        <w:t>Y</w:t>
      </w:r>
      <w:r>
        <w:rPr>
          <w:rFonts w:ascii="Times New Roman" w:eastAsia="Times New Roman" w:hAnsi="Times New Roman" w:cs="Times New Roman"/>
          <w:bCs/>
          <w:color w:val="000000"/>
          <w:sz w:val="24"/>
          <w:szCs w:val="24"/>
        </w:rPr>
        <w:t>ahoo finance’s API</w:t>
      </w:r>
      <w:r w:rsidR="009F6082">
        <w:rPr>
          <w:rFonts w:ascii="Times New Roman" w:eastAsia="Times New Roman" w:hAnsi="Times New Roman" w:cs="Times New Roman"/>
          <w:bCs/>
          <w:color w:val="000000"/>
          <w:sz w:val="24"/>
          <w:szCs w:val="24"/>
        </w:rPr>
        <w:t>. Yahoo provides closing, open, high and low prices for each as well as volume data. Both the S</w:t>
      </w:r>
      <w:r w:rsidR="0016412D">
        <w:rPr>
          <w:rFonts w:ascii="Times New Roman" w:eastAsia="Times New Roman" w:hAnsi="Times New Roman" w:cs="Times New Roman"/>
          <w:bCs/>
          <w:color w:val="000000"/>
          <w:sz w:val="24"/>
          <w:szCs w:val="24"/>
        </w:rPr>
        <w:t>&amp;</w:t>
      </w:r>
      <w:r w:rsidR="009F6082">
        <w:rPr>
          <w:rFonts w:ascii="Times New Roman" w:eastAsia="Times New Roman" w:hAnsi="Times New Roman" w:cs="Times New Roman"/>
          <w:bCs/>
          <w:color w:val="000000"/>
          <w:sz w:val="24"/>
          <w:szCs w:val="24"/>
        </w:rPr>
        <w:t xml:space="preserve">P 500 and SPDR are differenced to create daily returns. </w:t>
      </w:r>
      <w:r>
        <w:rPr>
          <w:rFonts w:ascii="Times New Roman" w:eastAsia="Times New Roman" w:hAnsi="Times New Roman" w:cs="Times New Roman"/>
          <w:bCs/>
          <w:color w:val="000000"/>
          <w:sz w:val="24"/>
          <w:szCs w:val="24"/>
        </w:rPr>
        <w:t xml:space="preserve">Google search trends for the word Bitcoin are taken from Google’s explore website. The data are </w:t>
      </w:r>
      <w:r w:rsidR="009F6082">
        <w:rPr>
          <w:rFonts w:ascii="Times New Roman" w:eastAsia="Times New Roman" w:hAnsi="Times New Roman" w:cs="Times New Roman"/>
          <w:bCs/>
          <w:color w:val="000000"/>
          <w:sz w:val="24"/>
          <w:szCs w:val="24"/>
        </w:rPr>
        <w:t>reported as the number of searches of the word “Bitcoin” per day</w:t>
      </w:r>
      <w:r>
        <w:rPr>
          <w:rFonts w:ascii="Times New Roman" w:eastAsia="Times New Roman" w:hAnsi="Times New Roman" w:cs="Times New Roman"/>
          <w:bCs/>
          <w:color w:val="000000"/>
          <w:sz w:val="24"/>
          <w:szCs w:val="24"/>
        </w:rPr>
        <w:t>.</w:t>
      </w:r>
      <w:r w:rsidR="009F6082">
        <w:rPr>
          <w:rFonts w:ascii="Times New Roman" w:eastAsia="Times New Roman" w:hAnsi="Times New Roman" w:cs="Times New Roman"/>
          <w:bCs/>
          <w:color w:val="000000"/>
          <w:sz w:val="24"/>
          <w:szCs w:val="24"/>
        </w:rPr>
        <w:t xml:space="preserve"> However, Google normalizes the data to represent the highest daily searches in a selected time frame to be 100 and does not </w:t>
      </w:r>
      <w:r w:rsidR="00605CCC">
        <w:rPr>
          <w:rFonts w:ascii="Times New Roman" w:eastAsia="Times New Roman" w:hAnsi="Times New Roman" w:cs="Times New Roman"/>
          <w:bCs/>
          <w:color w:val="000000"/>
          <w:sz w:val="24"/>
          <w:szCs w:val="24"/>
        </w:rPr>
        <w:t xml:space="preserve">give </w:t>
      </w:r>
      <w:r w:rsidR="009F6082">
        <w:rPr>
          <w:rFonts w:ascii="Times New Roman" w:eastAsia="Times New Roman" w:hAnsi="Times New Roman" w:cs="Times New Roman"/>
          <w:bCs/>
          <w:color w:val="000000"/>
          <w:sz w:val="24"/>
          <w:szCs w:val="24"/>
        </w:rPr>
        <w:t xml:space="preserve">the raw number of searches per day but a </w:t>
      </w:r>
      <w:r w:rsidR="00605CCC">
        <w:rPr>
          <w:rFonts w:ascii="Times New Roman" w:eastAsia="Times New Roman" w:hAnsi="Times New Roman" w:cs="Times New Roman"/>
          <w:bCs/>
          <w:color w:val="000000"/>
          <w:sz w:val="24"/>
          <w:szCs w:val="24"/>
        </w:rPr>
        <w:t>representation of it.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Methods </w:t>
      </w:r>
    </w:p>
    <w:p w:rsidR="00FB3918" w:rsidRDefault="00715058">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r w:rsidR="001178B9">
        <w:rPr>
          <w:rFonts w:ascii="Times New Roman" w:eastAsia="Times New Roman" w:hAnsi="Times New Roman" w:cs="Times New Roman"/>
          <w:bCs/>
          <w:color w:val="000000"/>
          <w:sz w:val="24"/>
          <w:szCs w:val="24"/>
        </w:rPr>
        <w:t>Baur (2012) had used</w:t>
      </w:r>
      <w:r w:rsid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Glosten</w:t>
      </w:r>
      <w:proofErr w:type="spellEnd"/>
      <w:r w:rsidR="00A06C9C" w:rsidRPr="00A06C9C">
        <w:rPr>
          <w:rFonts w:ascii="Times New Roman" w:eastAsia="Times New Roman" w:hAnsi="Times New Roman" w:cs="Times New Roman"/>
          <w:bCs/>
          <w:color w:val="000000"/>
          <w:sz w:val="24"/>
          <w:szCs w:val="24"/>
        </w:rPr>
        <w:t xml:space="preserve">, </w:t>
      </w:r>
      <w:proofErr w:type="spellStart"/>
      <w:r w:rsidR="00A06C9C" w:rsidRPr="00A06C9C">
        <w:rPr>
          <w:rFonts w:ascii="Times New Roman" w:eastAsia="Times New Roman" w:hAnsi="Times New Roman" w:cs="Times New Roman"/>
          <w:bCs/>
          <w:color w:val="000000"/>
          <w:sz w:val="24"/>
          <w:szCs w:val="24"/>
        </w:rPr>
        <w:t>Jaganathan</w:t>
      </w:r>
      <w:proofErr w:type="spellEnd"/>
      <w:r w:rsidR="00A06C9C" w:rsidRPr="00A06C9C">
        <w:rPr>
          <w:rFonts w:ascii="Times New Roman" w:eastAsia="Times New Roman" w:hAnsi="Times New Roman" w:cs="Times New Roman"/>
          <w:bCs/>
          <w:color w:val="000000"/>
          <w:sz w:val="24"/>
          <w:szCs w:val="24"/>
        </w:rPr>
        <w:t>, and Runkle [1993]</w:t>
      </w:r>
      <w:r w:rsidR="00A06C9C">
        <w:rPr>
          <w:rFonts w:ascii="Times New Roman" w:eastAsia="Times New Roman" w:hAnsi="Times New Roman" w:cs="Times New Roman"/>
          <w:bCs/>
          <w:color w:val="000000"/>
          <w:sz w:val="24"/>
          <w:szCs w:val="24"/>
        </w:rPr>
        <w:t>’s asymmetric GARCH model to investigate the impact of positive and negative returns of gold on its volatility</w:t>
      </w:r>
      <w:r>
        <w:rPr>
          <w:rFonts w:ascii="Times New Roman" w:eastAsia="Times New Roman" w:hAnsi="Times New Roman" w:cs="Times New Roman"/>
          <w:bCs/>
          <w:color w:val="000000"/>
          <w:sz w:val="24"/>
          <w:szCs w:val="24"/>
        </w:rPr>
        <w:t xml:space="preserve">, </w:t>
      </w:r>
      <w:r w:rsidR="00A06C9C">
        <w:rPr>
          <w:rFonts w:ascii="Times New Roman" w:eastAsia="Times New Roman" w:hAnsi="Times New Roman" w:cs="Times New Roman"/>
          <w:bCs/>
          <w:color w:val="000000"/>
          <w:sz w:val="24"/>
          <w:szCs w:val="24"/>
        </w:rPr>
        <w:t>this study</w:t>
      </w:r>
      <w:r>
        <w:rPr>
          <w:rFonts w:ascii="Times New Roman" w:eastAsia="Times New Roman" w:hAnsi="Times New Roman" w:cs="Times New Roman"/>
          <w:bCs/>
          <w:color w:val="000000"/>
          <w:sz w:val="24"/>
          <w:szCs w:val="24"/>
        </w:rPr>
        <w:t xml:space="preserve"> </w:t>
      </w:r>
      <w:r w:rsidR="00412E49">
        <w:rPr>
          <w:rFonts w:ascii="Times New Roman" w:eastAsia="Times New Roman" w:hAnsi="Times New Roman" w:cs="Times New Roman"/>
          <w:bCs/>
          <w:color w:val="000000"/>
          <w:sz w:val="24"/>
          <w:szCs w:val="24"/>
        </w:rPr>
        <w:t>attempts to use the</w:t>
      </w:r>
      <w:r w:rsidR="00A06C9C">
        <w:rPr>
          <w:rFonts w:ascii="Times New Roman" w:eastAsia="Times New Roman" w:hAnsi="Times New Roman" w:cs="Times New Roman"/>
          <w:bCs/>
          <w:color w:val="000000"/>
          <w:sz w:val="24"/>
          <w:szCs w:val="24"/>
        </w:rPr>
        <w:t xml:space="preserve"> same model to evaluate Bitcoin </w:t>
      </w:r>
      <w:r w:rsidR="00E96389">
        <w:rPr>
          <w:rFonts w:ascii="Times New Roman" w:eastAsia="Times New Roman" w:hAnsi="Times New Roman" w:cs="Times New Roman"/>
          <w:bCs/>
          <w:color w:val="000000"/>
          <w:sz w:val="24"/>
          <w:szCs w:val="24"/>
        </w:rPr>
        <w:t>f</w:t>
      </w:r>
      <w:r w:rsidR="00A06C9C">
        <w:rPr>
          <w:rFonts w:ascii="Times New Roman" w:eastAsia="Times New Roman" w:hAnsi="Times New Roman" w:cs="Times New Roman"/>
          <w:bCs/>
          <w:color w:val="000000"/>
          <w:sz w:val="24"/>
          <w:szCs w:val="24"/>
        </w:rPr>
        <w:t>utures returns to its volatility. Explicitly, the model is described below.</w:t>
      </w:r>
    </w:p>
    <w:p w:rsidR="00A06C9C" w:rsidRPr="00A06C9C" w:rsidRDefault="00143DBF" w:rsidP="00A06C9C">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1 - </w:t>
      </w:r>
      <w:r w:rsidR="00715058" w:rsidRPr="00A06C9C">
        <w:rPr>
          <w:rFonts w:ascii="Times New Roman" w:eastAsia="Times New Roman" w:hAnsi="Times New Roman" w:cs="Times New Roman"/>
          <w:b/>
          <w:bCs/>
          <w:color w:val="000000"/>
          <w:szCs w:val="24"/>
          <w:u w:val="single"/>
        </w:rPr>
        <w:t>Asymmetric GARCH Model</w:t>
      </w:r>
    </w:p>
    <w:p w:rsidR="00FB3918" w:rsidRPr="00A06C9C" w:rsidRDefault="00A06C9C" w:rsidP="00A06C9C">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FB3918" w:rsidRPr="00F3096E" w:rsidRDefault="00DE6453" w:rsidP="00A06C9C">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7</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I(</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Sub>
          <m:r>
            <w:rPr>
              <w:rFonts w:ascii="Cambria Math" w:eastAsia="Times New Roman" w:hAnsi="Cambria Math" w:cs="Times New Roman"/>
              <w:color w:val="000000"/>
              <w:szCs w:val="24"/>
            </w:rPr>
            <m:t>&gt;0)</m:t>
          </m:r>
        </m:oMath>
      </m:oMathPara>
    </w:p>
    <w:p w:rsidR="00FB3918" w:rsidRDefault="00FB3918">
      <w:pPr>
        <w:spacing w:line="240" w:lineRule="auto"/>
        <w:textAlignment w:val="baseline"/>
        <w:rPr>
          <w:rFonts w:ascii="Times New Roman" w:eastAsia="Times New Roman" w:hAnsi="Times New Roman" w:cs="Times New Roman"/>
          <w:bCs/>
          <w:color w:val="000000"/>
          <w:sz w:val="24"/>
          <w:szCs w:val="24"/>
        </w:rPr>
      </w:pPr>
    </w:p>
    <w:p w:rsidR="00143DBF" w:rsidRDefault="00715058"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first moment of the model</w:t>
      </w:r>
      <w:r w:rsidR="00A06C9C">
        <w:rPr>
          <w:rFonts w:ascii="Times New Roman" w:eastAsia="Times New Roman" w:hAnsi="Times New Roman" w:cs="Times New Roman"/>
          <w:bCs/>
          <w:color w:val="000000"/>
          <w:sz w:val="24"/>
          <w:szCs w:val="24"/>
        </w:rPr>
        <w:t xml:space="preserve"> estimates a mean retu</w:t>
      </w:r>
      <w:r w:rsidR="007E2056">
        <w:rPr>
          <w:rFonts w:ascii="Times New Roman" w:eastAsia="Times New Roman" w:hAnsi="Times New Roman" w:cs="Times New Roman"/>
          <w:bCs/>
          <w:color w:val="000000"/>
          <w:sz w:val="24"/>
          <w:szCs w:val="24"/>
        </w:rPr>
        <w:t>rn.</w:t>
      </w:r>
      <w:r>
        <w:rPr>
          <w:rFonts w:ascii="Times New Roman" w:eastAsia="Times New Roman" w:hAnsi="Times New Roman" w:cs="Times New Roman"/>
          <w:bCs/>
          <w:color w:val="000000"/>
          <w:sz w:val="24"/>
          <w:szCs w:val="24"/>
        </w:rPr>
        <w:t xml:space="preserve"> The second moment of the model incorporates the lagged squared error term as an indication of positive swings in the return of Bitcoin futures,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sidR="007D59E2" w:rsidRPr="007D59E2">
        <w:rPr>
          <w:rFonts w:ascii="Times New Roman" w:eastAsia="Times New Roman" w:hAnsi="Times New Roman" w:cs="Times New Roman"/>
          <w:bCs/>
          <w:color w:val="000000"/>
          <w:sz w:val="24"/>
          <w:szCs w:val="24"/>
        </w:rPr>
        <w:t xml:space="preserve"> </w:t>
      </w:r>
      <w:r w:rsidR="007D59E2">
        <w:rPr>
          <w:rFonts w:ascii="Times New Roman" w:eastAsia="Times New Roman" w:hAnsi="Times New Roman" w:cs="Times New Roman"/>
          <w:bCs/>
          <w:color w:val="000000"/>
          <w:sz w:val="24"/>
          <w:szCs w:val="24"/>
        </w:rPr>
        <w:t>- models volatility independently when returns are negative and positive</w:t>
      </w:r>
      <m:oMath>
        <m:r>
          <w:rPr>
            <w:rFonts w:ascii="Cambria Math" w:eastAsia="Times New Roman" w:hAnsi="Cambria Math" w:cs="Times New Roman"/>
            <w:color w:val="000000"/>
            <w:sz w:val="24"/>
            <w:szCs w:val="24"/>
          </w:rPr>
          <m:t>.</m:t>
        </m:r>
      </m:oMath>
      <w:r w:rsidR="007D59E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7</m:t>
            </m:r>
          </m:sub>
        </m:sSub>
      </m:oMath>
      <w:r>
        <w:rPr>
          <w:rFonts w:ascii="Times New Roman" w:eastAsia="Times New Roman" w:hAnsi="Times New Roman" w:cs="Times New Roman"/>
          <w:bCs/>
          <w:color w:val="000000"/>
          <w:sz w:val="24"/>
          <w:szCs w:val="24"/>
          <w:vertAlign w:val="subscript"/>
        </w:rPr>
        <w:t xml:space="preserve"> </w:t>
      </w:r>
      <w:r>
        <w:rPr>
          <w:rFonts w:ascii="Times New Roman" w:eastAsia="Times New Roman" w:hAnsi="Times New Roman" w:cs="Times New Roman"/>
          <w:bCs/>
          <w:color w:val="000000"/>
          <w:sz w:val="24"/>
          <w:szCs w:val="24"/>
        </w:rPr>
        <w:t xml:space="preserve">is positive, then positive shocks to the Bitcoin futures returns increase volatility. </w:t>
      </w:r>
    </w:p>
    <w:p w:rsidR="0043436E" w:rsidRDefault="0043436E" w:rsidP="00143DBF">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Additionally, employing another approach to </w:t>
      </w:r>
      <w:r w:rsidR="00CB3931">
        <w:rPr>
          <w:rFonts w:ascii="Times New Roman" w:eastAsia="Times New Roman" w:hAnsi="Times New Roman" w:cs="Times New Roman"/>
          <w:bCs/>
          <w:color w:val="000000"/>
          <w:sz w:val="24"/>
          <w:szCs w:val="24"/>
        </w:rPr>
        <w:t xml:space="preserve">asymmetrically model positive and negative feedback,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w:t>
      </w:r>
      <w:r w:rsidR="008B29DF" w:rsidRPr="008B29DF">
        <w:rPr>
          <w:rFonts w:ascii="Times New Roman" w:eastAsia="Times New Roman" w:hAnsi="Times New Roman" w:cs="Times New Roman"/>
          <w:bCs/>
          <w:sz w:val="24"/>
          <w:szCs w:val="24"/>
        </w:rPr>
        <w:t>2001</w:t>
      </w:r>
      <w:r>
        <w:rPr>
          <w:rFonts w:ascii="Times New Roman" w:eastAsia="Times New Roman" w:hAnsi="Times New Roman" w:cs="Times New Roman"/>
          <w:bCs/>
          <w:color w:val="000000"/>
          <w:sz w:val="24"/>
          <w:szCs w:val="24"/>
        </w:rPr>
        <w:t xml:space="preserve">) uses the close price and high price to </w:t>
      </w:r>
      <w:r w:rsidR="00405A7F">
        <w:rPr>
          <w:rFonts w:ascii="Times New Roman" w:eastAsia="Times New Roman" w:hAnsi="Times New Roman" w:cs="Times New Roman"/>
          <w:bCs/>
          <w:color w:val="000000"/>
          <w:sz w:val="24"/>
          <w:szCs w:val="24"/>
        </w:rPr>
        <w:t>decompose</w:t>
      </w:r>
      <w:r>
        <w:rPr>
          <w:rFonts w:ascii="Times New Roman" w:eastAsia="Times New Roman" w:hAnsi="Times New Roman" w:cs="Times New Roman"/>
          <w:bCs/>
          <w:color w:val="000000"/>
          <w:sz w:val="24"/>
          <w:szCs w:val="24"/>
        </w:rPr>
        <w:t xml:space="preserve"> volume data in stocks to determine if good news asymmetrically impacts a stock. </w:t>
      </w:r>
      <w:r w:rsidR="008B29DF">
        <w:rPr>
          <w:rFonts w:ascii="Times New Roman" w:eastAsia="Times New Roman" w:hAnsi="Times New Roman" w:cs="Times New Roman"/>
          <w:bCs/>
          <w:color w:val="000000"/>
          <w:sz w:val="24"/>
          <w:szCs w:val="24"/>
        </w:rPr>
        <w:t>Incorporating</w:t>
      </w:r>
      <w:r>
        <w:rPr>
          <w:rFonts w:ascii="Times New Roman" w:eastAsia="Times New Roman" w:hAnsi="Times New Roman" w:cs="Times New Roman"/>
          <w:bCs/>
          <w:color w:val="000000"/>
          <w:sz w:val="24"/>
          <w:szCs w:val="24"/>
        </w:rPr>
        <w:t xml:space="preserve"> this into </w:t>
      </w:r>
      <w:r w:rsidR="001962FE">
        <w:rPr>
          <w:rFonts w:ascii="Times New Roman" w:eastAsia="Times New Roman" w:hAnsi="Times New Roman" w:cs="Times New Roman"/>
          <w:bCs/>
          <w:color w:val="000000"/>
          <w:sz w:val="24"/>
          <w:szCs w:val="24"/>
        </w:rPr>
        <w:t>my</w:t>
      </w:r>
      <w:r>
        <w:rPr>
          <w:rFonts w:ascii="Times New Roman" w:eastAsia="Times New Roman" w:hAnsi="Times New Roman" w:cs="Times New Roman"/>
          <w:bCs/>
          <w:color w:val="000000"/>
          <w:sz w:val="24"/>
          <w:szCs w:val="24"/>
        </w:rPr>
        <w:t xml:space="preserve"> study </w:t>
      </w:r>
      <w:r>
        <w:rPr>
          <w:rFonts w:ascii="Times New Roman" w:eastAsia="Times New Roman" w:hAnsi="Times New Roman" w:cs="Times New Roman"/>
          <w:bCs/>
          <w:color w:val="000000"/>
          <w:sz w:val="24"/>
          <w:szCs w:val="24"/>
        </w:rPr>
        <w:lastRenderedPageBreak/>
        <w:t xml:space="preserve">yields the introduction of two new variables: </w:t>
      </w:r>
      <w:r w:rsidR="009F4F69">
        <w:rPr>
          <w:rFonts w:ascii="Times New Roman" w:eastAsia="Times New Roman" w:hAnsi="Times New Roman" w:cs="Times New Roman"/>
          <w:bCs/>
          <w:color w:val="000000"/>
          <w:sz w:val="24"/>
          <w:szCs w:val="24"/>
        </w:rPr>
        <w:t>g</w:t>
      </w:r>
      <w:r>
        <w:rPr>
          <w:rFonts w:ascii="Times New Roman" w:eastAsia="Times New Roman" w:hAnsi="Times New Roman" w:cs="Times New Roman"/>
          <w:bCs/>
          <w:color w:val="000000"/>
          <w:sz w:val="24"/>
          <w:szCs w:val="24"/>
        </w:rPr>
        <w:t xml:space="preserve">ood news and </w:t>
      </w:r>
      <w:r w:rsidR="009F4F69">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ad news volume</w:t>
      </w:r>
      <w:r w:rsidR="008B29DF">
        <w:rPr>
          <w:rFonts w:ascii="Times New Roman" w:eastAsia="Times New Roman" w:hAnsi="Times New Roman" w:cs="Times New Roman"/>
          <w:bCs/>
          <w:color w:val="000000"/>
          <w:sz w:val="24"/>
          <w:szCs w:val="24"/>
        </w:rPr>
        <w:t xml:space="preserve"> </w:t>
      </w:r>
      <w:r w:rsidR="009F4F69">
        <w:rPr>
          <w:rFonts w:ascii="Times New Roman" w:eastAsia="Times New Roman" w:hAnsi="Times New Roman" w:cs="Times New Roman"/>
          <w:bCs/>
          <w:color w:val="000000"/>
          <w:sz w:val="24"/>
          <w:szCs w:val="24"/>
        </w:rPr>
        <w:t>or GNV and BNV defined below</w:t>
      </w:r>
      <w:r w:rsidR="001962FE">
        <w:rPr>
          <w:rFonts w:ascii="Times New Roman" w:eastAsia="Times New Roman" w:hAnsi="Times New Roman" w:cs="Times New Roman"/>
          <w:bCs/>
          <w:color w:val="000000"/>
          <w:sz w:val="24"/>
          <w:szCs w:val="24"/>
        </w:rPr>
        <w:t xml:space="preserve"> where </w:t>
      </w:r>
      <w:proofErr w:type="spellStart"/>
      <w:r w:rsidR="001962FE">
        <w:rPr>
          <w:rFonts w:ascii="Times New Roman" w:eastAsia="Times New Roman" w:hAnsi="Times New Roman" w:cs="Times New Roman"/>
          <w:bCs/>
          <w:color w:val="000000"/>
          <w:sz w:val="24"/>
          <w:szCs w:val="24"/>
        </w:rPr>
        <w:t>Volume</w:t>
      </w:r>
      <w:r w:rsidR="001962FE" w:rsidRPr="001962FE">
        <w:rPr>
          <w:rFonts w:ascii="Times New Roman" w:eastAsia="Times New Roman" w:hAnsi="Times New Roman" w:cs="Times New Roman"/>
          <w:bCs/>
          <w:color w:val="000000"/>
          <w:sz w:val="24"/>
          <w:szCs w:val="24"/>
          <w:vertAlign w:val="subscript"/>
        </w:rPr>
        <w:t>t</w:t>
      </w:r>
      <w:proofErr w:type="spellEnd"/>
      <w:r w:rsidR="001962FE">
        <w:rPr>
          <w:rFonts w:ascii="Times New Roman" w:eastAsia="Times New Roman" w:hAnsi="Times New Roman" w:cs="Times New Roman"/>
          <w:bCs/>
          <w:color w:val="000000"/>
          <w:sz w:val="24"/>
          <w:szCs w:val="24"/>
        </w:rPr>
        <w:t xml:space="preserve"> is from any return series </w:t>
      </w:r>
      <w:proofErr w:type="spellStart"/>
      <w:r w:rsidR="001962FE">
        <w:rPr>
          <w:rFonts w:ascii="Times New Roman" w:eastAsia="Times New Roman" w:hAnsi="Times New Roman" w:cs="Times New Roman"/>
          <w:bCs/>
          <w:color w:val="000000"/>
          <w:sz w:val="24"/>
          <w:szCs w:val="24"/>
        </w:rPr>
        <w:t>X</w:t>
      </w:r>
      <w:r w:rsidR="001962FE" w:rsidRPr="001962FE">
        <w:rPr>
          <w:rFonts w:ascii="Times New Roman" w:eastAsia="Times New Roman" w:hAnsi="Times New Roman" w:cs="Times New Roman"/>
          <w:bCs/>
          <w:color w:val="000000"/>
          <w:sz w:val="24"/>
          <w:szCs w:val="24"/>
          <w:vertAlign w:val="subscript"/>
        </w:rPr>
        <w:t>t</w:t>
      </w:r>
      <w:r w:rsidR="001962FE">
        <w:rPr>
          <w:rFonts w:ascii="Times New Roman" w:eastAsia="Times New Roman" w:hAnsi="Times New Roman" w:cs="Times New Roman"/>
          <w:bCs/>
          <w:color w:val="000000"/>
          <w:sz w:val="24"/>
          <w:szCs w:val="24"/>
        </w:rPr>
        <w:t>.</w:t>
      </w:r>
      <w:proofErr w:type="spellEnd"/>
    </w:p>
    <w:p w:rsidR="00F93AF3" w:rsidRPr="00CB3931" w:rsidRDefault="00F93AF3" w:rsidP="00F93AF3">
      <w:pPr>
        <w:spacing w:line="240" w:lineRule="auto"/>
        <w:textAlignment w:val="baseline"/>
        <w:rPr>
          <w:rFonts w:ascii="Times New Roman" w:eastAsia="Times New Roman" w:hAnsi="Times New Roman" w:cs="Times New Roman"/>
          <w:bCs/>
          <w:color w:val="000000"/>
          <w:sz w:val="20"/>
          <w:szCs w:val="24"/>
        </w:rPr>
      </w:pPr>
      <m:oMath>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e>
            </m:d>
          </m:e>
        </m:func>
      </m:oMath>
      <w:r w:rsidR="00CB3931" w:rsidRPr="00CB3931">
        <w:rPr>
          <w:rFonts w:ascii="Times New Roman" w:eastAsia="Times New Roman" w:hAnsi="Times New Roman" w:cs="Times New Roman"/>
          <w:bCs/>
          <w:color w:val="000000"/>
          <w:sz w:val="20"/>
          <w:szCs w:val="24"/>
        </w:rPr>
        <w:tab/>
      </w:r>
    </w:p>
    <w:p w:rsidR="00F93AF3" w:rsidRPr="00F93AF3" w:rsidRDefault="00F93AF3" w:rsidP="00F93AF3">
      <w:pPr>
        <w:spacing w:line="36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=Hig</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unc>
          <m:funcPr>
            <m:ctrlPr>
              <w:rPr>
                <w:rFonts w:ascii="Cambria Math" w:eastAsia="Times New Roman" w:hAnsi="Cambria Math" w:cs="Times New Roman"/>
                <w:bCs/>
                <w:color w:val="000000"/>
                <w:sz w:val="24"/>
                <w:szCs w:val="24"/>
              </w:rPr>
            </m:ctrlPr>
          </m:funcPr>
          <m:fName>
            <m:r>
              <m:rPr>
                <m:sty m:val="p"/>
              </m:rPr>
              <w:rPr>
                <w:rFonts w:ascii="Cambria Math" w:eastAsia="Times New Roman" w:hAnsi="Cambria Math" w:cs="Times New Roman"/>
                <w:color w:val="000000"/>
                <w:sz w:val="24"/>
                <w:szCs w:val="24"/>
              </w:rPr>
              <m:t>max</m:t>
            </m:r>
            <m:ctrlPr>
              <w:rPr>
                <w:rFonts w:ascii="Cambria Math" w:eastAsia="Times New Roman" w:hAnsi="Cambria Math" w:cs="Times New Roman"/>
                <w:bCs/>
                <w:i/>
                <w:color w:val="000000"/>
                <w:sz w:val="24"/>
                <w:szCs w:val="24"/>
              </w:rPr>
            </m:ctrlPr>
          </m:fName>
          <m:e>
            <m:d>
              <m:dPr>
                <m:ctrlPr>
                  <w:rPr>
                    <w:rFonts w:ascii="Cambria Math" w:eastAsia="Times New Roman" w:hAnsi="Cambria Math" w:cs="Times New Roman"/>
                    <w:bCs/>
                    <w:i/>
                    <w:color w:val="000000"/>
                    <w:sz w:val="24"/>
                    <w:szCs w:val="24"/>
                  </w:rPr>
                </m:ctrlPr>
              </m:dPr>
              <m:e>
                <m:r>
                  <w:rPr>
                    <w:rFonts w:ascii="Cambria Math" w:eastAsia="Times New Roman" w:hAnsi="Cambria Math" w:cs="Times New Roman"/>
                    <w:color w:val="000000"/>
                    <w:sz w:val="24"/>
                    <w:szCs w:val="24"/>
                  </w:rPr>
                  <m:t>0, Clos</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-Lo</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t</m:t>
                    </m:r>
                  </m:sub>
                </m:sSub>
              </m:e>
            </m:d>
          </m:e>
        </m:func>
      </m:oMath>
      <w:r w:rsidR="00CB3931">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w:br/>
        </m:r>
        <m:r>
          <w:rPr>
            <w:rFonts w:ascii="Cambria Math" w:eastAsia="Times New Roman" w:hAnsi="Cambria Math" w:cs="Times New Roman"/>
            <w:color w:val="000000"/>
            <w:sz w:val="24"/>
            <w:szCs w:val="24"/>
          </w:rPr>
          <m:t>GN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F93AF3" w:rsidRDefault="00F93AF3" w:rsidP="008B29DF">
      <w:pPr>
        <w:spacing w:line="480" w:lineRule="auto"/>
        <w:textAlignment w:val="baseline"/>
        <w:rPr>
          <w:rFonts w:ascii="Times New Roman" w:eastAsia="Times New Roman" w:hAnsi="Times New Roman" w:cs="Times New Roman"/>
          <w:bCs/>
          <w:color w:val="000000"/>
          <w:sz w:val="24"/>
          <w:szCs w:val="24"/>
        </w:rPr>
      </w:pPr>
      <m:oMath>
        <m:r>
          <w:rPr>
            <w:rFonts w:ascii="Cambria Math" w:eastAsia="Times New Roman" w:hAnsi="Cambria Math" w:cs="Times New Roman"/>
            <w:color w:val="000000"/>
            <w:sz w:val="24"/>
            <w:szCs w:val="24"/>
          </w:rPr>
          <m:t>BN</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bCs/>
                <w:i/>
                <w:color w:val="000000"/>
                <w:sz w:val="24"/>
                <w:szCs w:val="24"/>
              </w:rPr>
            </m:ctrlPr>
          </m:fPr>
          <m:num>
            <m:r>
              <w:rPr>
                <w:rFonts w:ascii="Cambria Math" w:eastAsia="Times New Roman" w:hAnsi="Cambria Math" w:cs="Times New Roman"/>
                <w:color w:val="000000"/>
                <w:sz w:val="24"/>
                <w:szCs w:val="24"/>
              </w:rPr>
              <m:t>Volum</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num>
          <m:den>
            <m:r>
              <w:rPr>
                <w:rFonts w:ascii="Cambria Math" w:eastAsia="Times New Roman" w:hAnsi="Cambria Math" w:cs="Times New Roman"/>
                <w:color w:val="000000"/>
                <w:sz w:val="24"/>
                <w:szCs w:val="24"/>
              </w:rPr>
              <m:t>GoodNew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+BadNew</m:t>
            </m:r>
            <m:sSub>
              <m:sSubPr>
                <m:ctrlPr>
                  <w:rPr>
                    <w:rFonts w:ascii="Cambria Math" w:eastAsia="Times New Roman" w:hAnsi="Cambria Math" w:cs="Times New Roman"/>
                    <w:bCs/>
                    <w:i/>
                    <w:color w:val="000000"/>
                    <w:sz w:val="24"/>
                    <w:szCs w:val="24"/>
                  </w:rPr>
                </m:ctrlPr>
              </m:sSubPr>
              <m:e>
                <m:r>
                  <w:rPr>
                    <w:rFonts w:ascii="Cambria Math" w:eastAsia="Times New Roman" w:hAnsi="Cambria Math" w:cs="Times New Roman"/>
                    <w:color w:val="000000"/>
                    <w:sz w:val="24"/>
                    <w:szCs w:val="24"/>
                  </w:rPr>
                  <m:t>s</m:t>
                </m:r>
              </m:e>
              <m:sub>
                <m:r>
                  <w:rPr>
                    <w:rFonts w:ascii="Cambria Math" w:eastAsia="Times New Roman" w:hAnsi="Cambria Math" w:cs="Times New Roman"/>
                    <w:color w:val="000000"/>
                    <w:sz w:val="24"/>
                    <w:szCs w:val="24"/>
                  </w:rPr>
                  <m:t>t</m:t>
                </m:r>
              </m:sub>
            </m:sSub>
          </m:den>
        </m:f>
      </m:oMath>
      <w:r w:rsidR="00CB3931">
        <w:rPr>
          <w:rFonts w:ascii="Times New Roman" w:eastAsia="Times New Roman" w:hAnsi="Times New Roman" w:cs="Times New Roman"/>
          <w:bCs/>
          <w:color w:val="000000"/>
          <w:sz w:val="24"/>
          <w:szCs w:val="24"/>
        </w:rPr>
        <w:tab/>
      </w:r>
    </w:p>
    <w:p w:rsidR="002369F2" w:rsidRPr="00220FD3" w:rsidRDefault="00220FD3" w:rsidP="00220FD3">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Model 2 is applied to Bitcoin futures, SPDR Gold ETF, and to the </w:t>
      </w:r>
      <w:proofErr w:type="spellStart"/>
      <w:r>
        <w:rPr>
          <w:rFonts w:ascii="Times New Roman" w:eastAsia="Times New Roman" w:hAnsi="Times New Roman" w:cs="Times New Roman"/>
          <w:bCs/>
          <w:color w:val="000000"/>
          <w:sz w:val="24"/>
          <w:szCs w:val="24"/>
        </w:rPr>
        <w:t>S</w:t>
      </w:r>
      <w:r w:rsidR="00AC537A">
        <w:rPr>
          <w:rFonts w:ascii="Times New Roman" w:eastAsia="Times New Roman" w:hAnsi="Times New Roman" w:cs="Times New Roman"/>
          <w:bCs/>
          <w:color w:val="000000"/>
          <w:sz w:val="24"/>
          <w:szCs w:val="24"/>
        </w:rPr>
        <w:t>and</w:t>
      </w:r>
      <w:r>
        <w:rPr>
          <w:rFonts w:ascii="Times New Roman" w:eastAsia="Times New Roman" w:hAnsi="Times New Roman" w:cs="Times New Roman"/>
          <w:bCs/>
          <w:color w:val="000000"/>
          <w:sz w:val="24"/>
          <w:szCs w:val="24"/>
        </w:rPr>
        <w:t>P</w:t>
      </w:r>
      <w:proofErr w:type="spellEnd"/>
      <w:r>
        <w:rPr>
          <w:rFonts w:ascii="Times New Roman" w:eastAsia="Times New Roman" w:hAnsi="Times New Roman" w:cs="Times New Roman"/>
          <w:bCs/>
          <w:color w:val="000000"/>
          <w:sz w:val="24"/>
          <w:szCs w:val="24"/>
        </w:rPr>
        <w:t xml:space="preserve"> 500 for reference. These results are listed in Table 3.</w:t>
      </w:r>
    </w:p>
    <w:p w:rsidR="0043436E" w:rsidRPr="00A06C9C" w:rsidRDefault="00143DBF" w:rsidP="0043436E">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2 - </w:t>
      </w:r>
      <w:r w:rsidR="0043436E" w:rsidRPr="00A06C9C">
        <w:rPr>
          <w:rFonts w:ascii="Times New Roman" w:eastAsia="Times New Roman" w:hAnsi="Times New Roman" w:cs="Times New Roman"/>
          <w:b/>
          <w:bCs/>
          <w:color w:val="000000"/>
          <w:szCs w:val="24"/>
          <w:u w:val="single"/>
        </w:rPr>
        <w:t>Asymmetric GARCH Model</w:t>
      </w:r>
      <w:r w:rsidR="00F3096E">
        <w:rPr>
          <w:rFonts w:ascii="Times New Roman" w:eastAsia="Times New Roman" w:hAnsi="Times New Roman" w:cs="Times New Roman"/>
          <w:b/>
          <w:bCs/>
          <w:color w:val="000000"/>
          <w:szCs w:val="24"/>
          <w:u w:val="single"/>
        </w:rPr>
        <w:t xml:space="preserve"> </w:t>
      </w:r>
      <w:r>
        <w:rPr>
          <w:rFonts w:ascii="Times New Roman" w:eastAsia="Times New Roman" w:hAnsi="Times New Roman" w:cs="Times New Roman"/>
          <w:b/>
          <w:bCs/>
          <w:color w:val="000000"/>
          <w:szCs w:val="24"/>
          <w:u w:val="single"/>
        </w:rPr>
        <w:t xml:space="preserve">with </w:t>
      </w:r>
      <w:r w:rsidR="00F3096E">
        <w:rPr>
          <w:rFonts w:ascii="Times New Roman" w:eastAsia="Times New Roman" w:hAnsi="Times New Roman" w:cs="Times New Roman"/>
          <w:b/>
          <w:bCs/>
          <w:color w:val="000000"/>
          <w:szCs w:val="24"/>
          <w:u w:val="single"/>
        </w:rPr>
        <w:t>Good</w:t>
      </w:r>
      <w:r>
        <w:rPr>
          <w:rFonts w:ascii="Times New Roman" w:eastAsia="Times New Roman" w:hAnsi="Times New Roman" w:cs="Times New Roman"/>
          <w:b/>
          <w:bCs/>
          <w:color w:val="000000"/>
          <w:szCs w:val="24"/>
          <w:u w:val="single"/>
        </w:rPr>
        <w:t xml:space="preserve"> News</w:t>
      </w:r>
      <w:r w:rsidR="00F3096E">
        <w:rPr>
          <w:rFonts w:ascii="Times New Roman" w:eastAsia="Times New Roman" w:hAnsi="Times New Roman" w:cs="Times New Roman"/>
          <w:b/>
          <w:bCs/>
          <w:color w:val="000000"/>
          <w:szCs w:val="24"/>
          <w:u w:val="single"/>
        </w:rPr>
        <w:t xml:space="preserve"> and Bad </w:t>
      </w:r>
      <w:r>
        <w:rPr>
          <w:rFonts w:ascii="Times New Roman" w:eastAsia="Times New Roman" w:hAnsi="Times New Roman" w:cs="Times New Roman"/>
          <w:b/>
          <w:bCs/>
          <w:color w:val="000000"/>
          <w:szCs w:val="24"/>
          <w:u w:val="single"/>
        </w:rPr>
        <w:t xml:space="preserve">News </w:t>
      </w:r>
      <w:r w:rsidR="00F3096E">
        <w:rPr>
          <w:rFonts w:ascii="Times New Roman" w:eastAsia="Times New Roman" w:hAnsi="Times New Roman" w:cs="Times New Roman"/>
          <w:b/>
          <w:bCs/>
          <w:color w:val="000000"/>
          <w:szCs w:val="24"/>
          <w:u w:val="single"/>
        </w:rPr>
        <w:t>Volume</w:t>
      </w:r>
    </w:p>
    <w:p w:rsidR="0043436E" w:rsidRPr="00A06C9C" w:rsidRDefault="00DE6453" w:rsidP="0043436E">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3436E" w:rsidRPr="0043436E" w:rsidRDefault="00DE6453" w:rsidP="0043436E">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oMath>
      </m:oMathPara>
    </w:p>
    <w:p w:rsidR="00220FD3" w:rsidRDefault="00220FD3" w:rsidP="00F3096E">
      <w:pPr>
        <w:spacing w:line="240" w:lineRule="auto"/>
        <w:textAlignment w:val="baseline"/>
        <w:rPr>
          <w:rFonts w:ascii="Times New Roman" w:eastAsia="Times New Roman" w:hAnsi="Times New Roman" w:cs="Times New Roman"/>
          <w:bCs/>
          <w:color w:val="000000"/>
          <w:sz w:val="24"/>
          <w:szCs w:val="24"/>
        </w:rPr>
      </w:pPr>
    </w:p>
    <w:p w:rsidR="002369F2" w:rsidRPr="00220FD3" w:rsidRDefault="000109F2" w:rsidP="00220FD3">
      <w:pPr>
        <w:spacing w:line="480" w:lineRule="auto"/>
        <w:ind w:firstLine="720"/>
        <w:textAlignment w:val="baseline"/>
        <w:rPr>
          <w:rFonts w:ascii="Times New Roman" w:eastAsia="Times New Roman" w:hAnsi="Times New Roman" w:cs="Times New Roman"/>
          <w:bCs/>
          <w:iCs/>
          <w:color w:val="000000"/>
          <w:sz w:val="24"/>
        </w:rPr>
      </w:pPr>
      <w:r>
        <w:rPr>
          <w:rFonts w:ascii="Times New Roman" w:eastAsia="Times New Roman" w:hAnsi="Times New Roman" w:cs="Times New Roman"/>
          <w:bCs/>
          <w:color w:val="000000"/>
          <w:sz w:val="24"/>
          <w:szCs w:val="24"/>
        </w:rPr>
        <w:t>Further, i</w:t>
      </w:r>
      <w:r w:rsidR="00715058" w:rsidRPr="0043436E">
        <w:rPr>
          <w:rFonts w:ascii="Times New Roman" w:eastAsia="Times New Roman" w:hAnsi="Times New Roman" w:cs="Times New Roman"/>
          <w:bCs/>
          <w:color w:val="000000"/>
          <w:sz w:val="24"/>
          <w:szCs w:val="24"/>
        </w:rPr>
        <w:t xml:space="preserve">f a safe-haven commodity acts as </w:t>
      </w:r>
      <w:proofErr w:type="spellStart"/>
      <w:r w:rsidR="00715058" w:rsidRPr="0043436E">
        <w:rPr>
          <w:rFonts w:ascii="Times New Roman" w:eastAsia="Times New Roman" w:hAnsi="Times New Roman" w:cs="Times New Roman"/>
          <w:color w:val="000000"/>
          <w:sz w:val="24"/>
          <w:szCs w:val="24"/>
        </w:rPr>
        <w:t>Bouri</w:t>
      </w:r>
      <w:proofErr w:type="spellEnd"/>
      <w:r w:rsidR="00715058" w:rsidRPr="0043436E">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sidR="00715058" w:rsidRPr="0043436E">
        <w:rPr>
          <w:rFonts w:ascii="Times New Roman" w:eastAsia="Times New Roman" w:hAnsi="Times New Roman" w:cs="Times New Roman"/>
          <w:color w:val="000000"/>
          <w:sz w:val="24"/>
          <w:szCs w:val="24"/>
        </w:rPr>
        <w:t xml:space="preserve"> </w:t>
      </w:r>
      <w:proofErr w:type="spellStart"/>
      <w:r w:rsidR="00715058" w:rsidRPr="0043436E">
        <w:rPr>
          <w:rFonts w:ascii="Times New Roman" w:eastAsia="Times New Roman" w:hAnsi="Times New Roman" w:cs="Times New Roman"/>
          <w:color w:val="000000"/>
          <w:sz w:val="24"/>
          <w:szCs w:val="24"/>
        </w:rPr>
        <w:t>Azzi</w:t>
      </w:r>
      <w:proofErr w:type="spellEnd"/>
      <w:r w:rsidR="00715058" w:rsidRPr="0043436E">
        <w:rPr>
          <w:rFonts w:ascii="Times New Roman" w:eastAsia="Times New Roman" w:hAnsi="Times New Roman" w:cs="Times New Roman"/>
          <w:color w:val="000000"/>
          <w:sz w:val="24"/>
          <w:szCs w:val="24"/>
        </w:rPr>
        <w:t xml:space="preserve"> (2016</w:t>
      </w:r>
      <w:r w:rsidR="00715058" w:rsidRPr="0043436E">
        <w:rPr>
          <w:rFonts w:ascii="Times New Roman" w:eastAsia="Times New Roman" w:hAnsi="Times New Roman" w:cs="Times New Roman"/>
          <w:b/>
          <w:bCs/>
          <w:color w:val="000000"/>
          <w:sz w:val="24"/>
          <w:szCs w:val="24"/>
        </w:rPr>
        <w:t>)</w:t>
      </w:r>
      <w:r w:rsidR="00715058" w:rsidRPr="0043436E">
        <w:rPr>
          <w:rFonts w:ascii="Times New Roman" w:eastAsia="Times New Roman" w:hAnsi="Times New Roman" w:cs="Times New Roman"/>
          <w:bCs/>
          <w:color w:val="000000"/>
          <w:sz w:val="24"/>
          <w:szCs w:val="24"/>
        </w:rPr>
        <w:t xml:space="preserve"> suggest where investors in </w:t>
      </w:r>
      <w:r w:rsidR="00405A7F">
        <w:rPr>
          <w:rFonts w:ascii="Times New Roman" w:eastAsia="Times New Roman" w:hAnsi="Times New Roman" w:cs="Times New Roman"/>
          <w:bCs/>
          <w:color w:val="000000"/>
          <w:sz w:val="24"/>
          <w:szCs w:val="24"/>
        </w:rPr>
        <w:t xml:space="preserve">a </w:t>
      </w:r>
      <w:r w:rsidR="00715058" w:rsidRPr="0043436E">
        <w:rPr>
          <w:rFonts w:ascii="Times New Roman" w:eastAsia="Times New Roman" w:hAnsi="Times New Roman" w:cs="Times New Roman"/>
          <w:bCs/>
          <w:color w:val="000000"/>
          <w:sz w:val="24"/>
          <w:szCs w:val="24"/>
        </w:rPr>
        <w:t>downturn transmit volatility from the stock market to the Bitcoin market, then a safe-haven commodity’s volatility would have a negative correlation to the stock market</w:t>
      </w:r>
      <w:r w:rsidR="00F11431">
        <w:rPr>
          <w:rFonts w:ascii="Times New Roman" w:eastAsia="Times New Roman" w:hAnsi="Times New Roman" w:cs="Times New Roman"/>
          <w:bCs/>
          <w:color w:val="000000"/>
          <w:sz w:val="24"/>
          <w:szCs w:val="24"/>
        </w:rPr>
        <w:t xml:space="preserve"> volatility</w:t>
      </w:r>
      <w:r w:rsidR="00715058" w:rsidRPr="0043436E">
        <w:rPr>
          <w:rFonts w:ascii="Times New Roman" w:eastAsia="Times New Roman" w:hAnsi="Times New Roman" w:cs="Times New Roman"/>
          <w:bCs/>
          <w:color w:val="000000"/>
          <w:sz w:val="24"/>
          <w:szCs w:val="24"/>
        </w:rPr>
        <w:t xml:space="preserve">. Thus, an estimate for Bitcoin </w:t>
      </w:r>
      <w:r w:rsidR="00E96389">
        <w:rPr>
          <w:rFonts w:ascii="Times New Roman" w:eastAsia="Times New Roman" w:hAnsi="Times New Roman" w:cs="Times New Roman"/>
          <w:bCs/>
          <w:color w:val="000000"/>
          <w:sz w:val="24"/>
          <w:szCs w:val="24"/>
        </w:rPr>
        <w:t>f</w:t>
      </w:r>
      <w:r w:rsidR="00715058" w:rsidRPr="0043436E">
        <w:rPr>
          <w:rFonts w:ascii="Times New Roman" w:eastAsia="Times New Roman" w:hAnsi="Times New Roman" w:cs="Times New Roman"/>
          <w:bCs/>
          <w:color w:val="000000"/>
          <w:sz w:val="24"/>
          <w:szCs w:val="24"/>
        </w:rPr>
        <w:t xml:space="preserve">utures returns’ conditional volatility is created and compared to the US VIX as a proxy for </w:t>
      </w:r>
      <w:r w:rsidR="00F11431">
        <w:rPr>
          <w:rFonts w:ascii="Times New Roman" w:eastAsia="Times New Roman" w:hAnsi="Times New Roman" w:cs="Times New Roman"/>
          <w:bCs/>
          <w:color w:val="000000"/>
          <w:sz w:val="24"/>
          <w:szCs w:val="24"/>
        </w:rPr>
        <w:t>S</w:t>
      </w:r>
      <w:r w:rsidR="0016412D">
        <w:rPr>
          <w:rFonts w:ascii="Times New Roman" w:eastAsia="Times New Roman" w:hAnsi="Times New Roman" w:cs="Times New Roman"/>
          <w:bCs/>
          <w:color w:val="000000"/>
          <w:sz w:val="24"/>
          <w:szCs w:val="24"/>
        </w:rPr>
        <w:t>&amp;</w:t>
      </w:r>
      <w:r w:rsidR="00F11431">
        <w:rPr>
          <w:rFonts w:ascii="Times New Roman" w:eastAsia="Times New Roman" w:hAnsi="Times New Roman" w:cs="Times New Roman"/>
          <w:bCs/>
          <w:color w:val="000000"/>
          <w:sz w:val="24"/>
          <w:szCs w:val="24"/>
        </w:rPr>
        <w:t xml:space="preserve">P 500 </w:t>
      </w:r>
      <w:r w:rsidR="00715058" w:rsidRPr="0043436E">
        <w:rPr>
          <w:rFonts w:ascii="Times New Roman" w:eastAsia="Times New Roman" w:hAnsi="Times New Roman" w:cs="Times New Roman"/>
          <w:bCs/>
          <w:color w:val="000000"/>
          <w:sz w:val="24"/>
          <w:szCs w:val="24"/>
        </w:rPr>
        <w:t xml:space="preserve">volatility. The conditional volatility for Bitcoin futures returns are modeled through the </w:t>
      </w:r>
      <w:r w:rsidR="005E0516">
        <w:rPr>
          <w:rFonts w:ascii="Times New Roman" w:eastAsia="Times New Roman" w:hAnsi="Times New Roman" w:cs="Times New Roman"/>
          <w:bCs/>
          <w:color w:val="000000"/>
          <w:sz w:val="24"/>
          <w:szCs w:val="24"/>
        </w:rPr>
        <w:t>following</w:t>
      </w:r>
      <w:r w:rsidR="00715058" w:rsidRPr="0043436E">
        <w:rPr>
          <w:rFonts w:ascii="Times New Roman" w:eastAsia="Times New Roman" w:hAnsi="Times New Roman" w:cs="Times New Roman"/>
          <w:bCs/>
          <w:color w:val="000000"/>
          <w:sz w:val="24"/>
          <w:szCs w:val="24"/>
        </w:rPr>
        <w:t xml:space="preserve"> GARCH structure</w:t>
      </w:r>
      <w:r w:rsidR="0043436E" w:rsidRPr="0043436E">
        <w:rPr>
          <w:rFonts w:ascii="Times New Roman" w:eastAsia="Times New Roman" w:hAnsi="Times New Roman" w:cs="Times New Roman"/>
          <w:bCs/>
          <w:color w:val="000000"/>
          <w:sz w:val="24"/>
          <w:szCs w:val="24"/>
        </w:rPr>
        <w:t xml:space="preserve"> </w:t>
      </w:r>
      <w:r w:rsidR="00715058" w:rsidRPr="0043436E">
        <w:rPr>
          <w:rFonts w:ascii="Times New Roman" w:eastAsia="Times New Roman" w:hAnsi="Times New Roman" w:cs="Times New Roman"/>
          <w:bCs/>
          <w:color w:val="000000"/>
          <w:sz w:val="24"/>
          <w:szCs w:val="24"/>
        </w:rPr>
        <w:t xml:space="preserve">to incorporate the US VIX in explaining Bitcoin futures volatility and the results are shown </w:t>
      </w:r>
      <w:r w:rsidR="002369F2">
        <w:rPr>
          <w:rFonts w:ascii="Times New Roman" w:eastAsia="Times New Roman" w:hAnsi="Times New Roman" w:cs="Times New Roman"/>
          <w:bCs/>
          <w:color w:val="000000"/>
          <w:sz w:val="24"/>
          <w:szCs w:val="24"/>
        </w:rPr>
        <w:t xml:space="preserve">in </w:t>
      </w:r>
      <w:r w:rsidR="005E0516">
        <w:rPr>
          <w:rFonts w:ascii="Times New Roman" w:eastAsia="Times New Roman" w:hAnsi="Times New Roman" w:cs="Times New Roman"/>
          <w:bCs/>
          <w:color w:val="000000"/>
          <w:sz w:val="24"/>
          <w:szCs w:val="24"/>
        </w:rPr>
        <w:t>Table 2</w:t>
      </w:r>
      <w:r w:rsidR="00715058" w:rsidRPr="0043436E">
        <w:rPr>
          <w:rFonts w:ascii="Times New Roman" w:eastAsia="Times New Roman" w:hAnsi="Times New Roman" w:cs="Times New Roman"/>
          <w:bCs/>
          <w:color w:val="000000"/>
          <w:sz w:val="24"/>
          <w:szCs w:val="24"/>
        </w:rPr>
        <w:t xml:space="preserve">. If </w:t>
      </w:r>
      <m:oMath>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715058" w:rsidRPr="0043436E">
        <w:rPr>
          <w:rFonts w:ascii="Times New Roman" w:eastAsia="Times New Roman" w:hAnsi="Times New Roman" w:cs="Times New Roman"/>
          <w:bCs/>
          <w:iCs/>
          <w:color w:val="000000"/>
          <w:sz w:val="24"/>
        </w:rPr>
        <w:t xml:space="preserve"> is statistically significant th</w:t>
      </w:r>
      <w:r w:rsidR="00EE35C1" w:rsidRPr="0043436E">
        <w:rPr>
          <w:rFonts w:ascii="Times New Roman" w:eastAsia="Times New Roman" w:hAnsi="Times New Roman" w:cs="Times New Roman"/>
          <w:bCs/>
          <w:iCs/>
          <w:color w:val="000000"/>
          <w:sz w:val="24"/>
        </w:rPr>
        <w:t>e</w:t>
      </w:r>
      <w:r w:rsidR="00715058" w:rsidRPr="0043436E">
        <w:rPr>
          <w:rFonts w:ascii="Times New Roman" w:eastAsia="Times New Roman" w:hAnsi="Times New Roman" w:cs="Times New Roman"/>
          <w:bCs/>
          <w:iCs/>
          <w:color w:val="000000"/>
          <w:sz w:val="24"/>
        </w:rPr>
        <w:t xml:space="preserve">n </w:t>
      </w:r>
      <w:r w:rsidR="00EE35C1" w:rsidRPr="0043436E">
        <w:rPr>
          <w:rFonts w:ascii="Times New Roman" w:eastAsia="Times New Roman" w:hAnsi="Times New Roman" w:cs="Times New Roman"/>
          <w:bCs/>
          <w:iCs/>
          <w:color w:val="000000"/>
          <w:sz w:val="24"/>
        </w:rPr>
        <w:t xml:space="preserve">the conditional variance of </w:t>
      </w:r>
      <w:r w:rsidR="00715058" w:rsidRPr="0043436E">
        <w:rPr>
          <w:rFonts w:ascii="Times New Roman" w:eastAsia="Times New Roman" w:hAnsi="Times New Roman" w:cs="Times New Roman"/>
          <w:bCs/>
          <w:iCs/>
          <w:color w:val="000000"/>
          <w:sz w:val="24"/>
        </w:rPr>
        <w:t>Bitcoin futures</w:t>
      </w:r>
      <w:r w:rsidR="00EE35C1" w:rsidRPr="0043436E">
        <w:rPr>
          <w:rFonts w:ascii="Times New Roman" w:eastAsia="Times New Roman" w:hAnsi="Times New Roman" w:cs="Times New Roman"/>
          <w:bCs/>
          <w:iCs/>
          <w:color w:val="000000"/>
          <w:sz w:val="24"/>
        </w:rPr>
        <w:t xml:space="preserve"> returns</w:t>
      </w:r>
      <w:r w:rsidR="00715058" w:rsidRPr="0043436E">
        <w:rPr>
          <w:rFonts w:ascii="Times New Roman" w:eastAsia="Times New Roman" w:hAnsi="Times New Roman" w:cs="Times New Roman"/>
          <w:bCs/>
          <w:iCs/>
          <w:color w:val="000000"/>
          <w:sz w:val="24"/>
        </w:rPr>
        <w:t xml:space="preserve"> </w:t>
      </w:r>
      <w:r w:rsidR="00EE35C1" w:rsidRPr="0043436E">
        <w:rPr>
          <w:rFonts w:ascii="Times New Roman" w:eastAsia="Times New Roman" w:hAnsi="Times New Roman" w:cs="Times New Roman"/>
          <w:bCs/>
          <w:iCs/>
          <w:color w:val="000000"/>
          <w:sz w:val="24"/>
        </w:rPr>
        <w:t>must</w:t>
      </w:r>
      <w:r w:rsidR="00715058" w:rsidRPr="0043436E">
        <w:rPr>
          <w:rFonts w:ascii="Times New Roman" w:eastAsia="Times New Roman" w:hAnsi="Times New Roman" w:cs="Times New Roman"/>
          <w:bCs/>
          <w:iCs/>
          <w:color w:val="000000"/>
          <w:sz w:val="24"/>
        </w:rPr>
        <w:t xml:space="preserve"> be a function of the US volatility index</w:t>
      </w:r>
      <w:r w:rsidR="00EE35C1" w:rsidRPr="0043436E">
        <w:rPr>
          <w:rFonts w:ascii="Times New Roman" w:eastAsia="Times New Roman" w:hAnsi="Times New Roman" w:cs="Times New Roman"/>
          <w:bCs/>
          <w:iCs/>
          <w:color w:val="000000"/>
          <w:sz w:val="24"/>
        </w:rPr>
        <w:t xml:space="preserve"> and therefore the two markets are linked in their conditional variances. </w:t>
      </w:r>
      <w:r w:rsidR="00E558F0" w:rsidRPr="0043436E">
        <w:rPr>
          <w:rFonts w:ascii="Times New Roman" w:eastAsia="Times New Roman" w:hAnsi="Times New Roman" w:cs="Times New Roman"/>
          <w:bCs/>
          <w:iCs/>
          <w:color w:val="000000"/>
          <w:sz w:val="24"/>
        </w:rPr>
        <w:t>Moreover, if</w:t>
      </w:r>
      <m:oMath>
        <m:r>
          <w:rPr>
            <w:rFonts w:ascii="Cambria Math" w:eastAsia="Times New Roman" w:hAnsi="Cambria Math" w:cs="Times New Roman"/>
            <w:color w:val="000000"/>
            <w:sz w:val="24"/>
          </w:rPr>
          <m:t xml:space="preserve"> </m:t>
        </m:r>
        <m:sSub>
          <m:sSubPr>
            <m:ctrlPr>
              <w:rPr>
                <w:rFonts w:ascii="Cambria Math" w:eastAsia="Times New Roman" w:hAnsi="Cambria Math" w:cs="Times New Roman"/>
                <w:bCs/>
                <w:i/>
                <w:iCs/>
                <w:color w:val="000000"/>
                <w:sz w:val="20"/>
              </w:rPr>
            </m:ctrlPr>
          </m:sSubPr>
          <m:e>
            <m:r>
              <w:rPr>
                <w:rFonts w:ascii="Cambria Math" w:eastAsia="Times New Roman" w:hAnsi="Cambria Math" w:cs="Times New Roman"/>
                <w:color w:val="000000"/>
                <w:sz w:val="20"/>
              </w:rPr>
              <m:t>a</m:t>
            </m:r>
          </m:e>
          <m:sub>
            <m:r>
              <w:rPr>
                <w:rFonts w:ascii="Cambria Math" w:eastAsia="Times New Roman" w:hAnsi="Cambria Math" w:cs="Times New Roman"/>
                <w:color w:val="000000"/>
                <w:sz w:val="20"/>
              </w:rPr>
              <m:t>6</m:t>
            </m:r>
          </m:sub>
        </m:sSub>
      </m:oMath>
      <w:r w:rsidR="00E558F0" w:rsidRPr="0043436E">
        <w:rPr>
          <w:rFonts w:ascii="Times New Roman" w:eastAsia="Times New Roman" w:hAnsi="Times New Roman" w:cs="Times New Roman"/>
          <w:bCs/>
          <w:iCs/>
          <w:color w:val="000000"/>
          <w:sz w:val="24"/>
        </w:rPr>
        <w:t xml:space="preserve"> is negative, then </w:t>
      </w:r>
      <w:r w:rsidR="00EE35C1" w:rsidRPr="0043436E">
        <w:rPr>
          <w:rFonts w:ascii="Times New Roman" w:eastAsia="Times New Roman" w:hAnsi="Times New Roman" w:cs="Times New Roman"/>
          <w:bCs/>
          <w:iCs/>
          <w:color w:val="000000"/>
          <w:sz w:val="24"/>
        </w:rPr>
        <w:t xml:space="preserve">the conditional variance of Bitcoin futures returns decreases with as the volatility increases in the stock market. Meaning, </w:t>
      </w:r>
      <w:r w:rsidR="00B41056" w:rsidRPr="0043436E">
        <w:rPr>
          <w:rFonts w:ascii="Times New Roman" w:eastAsia="Times New Roman" w:hAnsi="Times New Roman" w:cs="Times New Roman"/>
          <w:bCs/>
          <w:iCs/>
          <w:color w:val="000000"/>
          <w:sz w:val="24"/>
        </w:rPr>
        <w:t xml:space="preserve">that when price change volatility </w:t>
      </w:r>
      <w:r w:rsidR="00B41056" w:rsidRPr="0043436E">
        <w:rPr>
          <w:rFonts w:ascii="Times New Roman" w:eastAsia="Times New Roman" w:hAnsi="Times New Roman" w:cs="Times New Roman"/>
          <w:bCs/>
          <w:iCs/>
          <w:color w:val="000000"/>
          <w:sz w:val="24"/>
        </w:rPr>
        <w:lastRenderedPageBreak/>
        <w:t xml:space="preserve">increases in equities market, Bitcoin </w:t>
      </w:r>
      <w:r w:rsidR="00E96389">
        <w:rPr>
          <w:rFonts w:ascii="Times New Roman" w:eastAsia="Times New Roman" w:hAnsi="Times New Roman" w:cs="Times New Roman"/>
          <w:bCs/>
          <w:iCs/>
          <w:color w:val="000000"/>
          <w:sz w:val="24"/>
        </w:rPr>
        <w:t>f</w:t>
      </w:r>
      <w:r w:rsidR="007E2056" w:rsidRPr="0043436E">
        <w:rPr>
          <w:rFonts w:ascii="Times New Roman" w:eastAsia="Times New Roman" w:hAnsi="Times New Roman" w:cs="Times New Roman"/>
          <w:bCs/>
          <w:iCs/>
          <w:color w:val="000000"/>
          <w:sz w:val="24"/>
        </w:rPr>
        <w:t xml:space="preserve">uture </w:t>
      </w:r>
      <w:r w:rsidR="00B41056" w:rsidRPr="0043436E">
        <w:rPr>
          <w:rFonts w:ascii="Times New Roman" w:eastAsia="Times New Roman" w:hAnsi="Times New Roman" w:cs="Times New Roman"/>
          <w:bCs/>
          <w:iCs/>
          <w:color w:val="000000"/>
          <w:sz w:val="24"/>
        </w:rPr>
        <w:t>returns become less volatile and may act like a safe-haven for equity shock</w:t>
      </w:r>
      <w:r w:rsidR="00DC2520">
        <w:rPr>
          <w:rFonts w:ascii="Times New Roman" w:eastAsia="Times New Roman" w:hAnsi="Times New Roman" w:cs="Times New Roman"/>
          <w:bCs/>
          <w:iCs/>
          <w:color w:val="000000"/>
          <w:sz w:val="24"/>
        </w:rPr>
        <w:t>s.</w:t>
      </w:r>
    </w:p>
    <w:p w:rsidR="00FB3918" w:rsidRDefault="00143DBF">
      <w:pPr>
        <w:spacing w:line="240" w:lineRule="auto"/>
        <w:textAlignment w:val="baseline"/>
        <w:rPr>
          <w:rFonts w:ascii="Times New Roman" w:eastAsia="Times New Roman" w:hAnsi="Times New Roman" w:cs="Times New Roman"/>
          <w:b/>
          <w:bCs/>
          <w:i/>
          <w:color w:val="000000"/>
          <w:u w:val="single"/>
        </w:rPr>
      </w:pPr>
      <w:r>
        <w:rPr>
          <w:rFonts w:ascii="Times New Roman" w:eastAsia="Times New Roman" w:hAnsi="Times New Roman" w:cs="Times New Roman"/>
          <w:b/>
          <w:bCs/>
          <w:i/>
          <w:color w:val="000000"/>
          <w:u w:val="single"/>
        </w:rPr>
        <w:t xml:space="preserve">Model 3 - </w:t>
      </w:r>
      <w:r w:rsidR="00715058">
        <w:rPr>
          <w:rFonts w:ascii="Times New Roman" w:eastAsia="Times New Roman" w:hAnsi="Times New Roman" w:cs="Times New Roman"/>
          <w:b/>
          <w:bCs/>
          <w:i/>
          <w:color w:val="000000"/>
          <w:u w:val="single"/>
        </w:rPr>
        <w:t>Augmented GARCH Model</w:t>
      </w:r>
      <w:r>
        <w:rPr>
          <w:rFonts w:ascii="Times New Roman" w:eastAsia="Times New Roman" w:hAnsi="Times New Roman" w:cs="Times New Roman"/>
          <w:b/>
          <w:bCs/>
          <w:i/>
          <w:color w:val="000000"/>
          <w:u w:val="single"/>
        </w:rPr>
        <w:t xml:space="preserve"> </w:t>
      </w:r>
      <w:r w:rsidR="00E06CA8">
        <w:rPr>
          <w:rFonts w:ascii="Times New Roman" w:eastAsia="Times New Roman" w:hAnsi="Times New Roman" w:cs="Times New Roman"/>
          <w:b/>
          <w:bCs/>
          <w:i/>
          <w:color w:val="000000"/>
          <w:u w:val="single"/>
        </w:rPr>
        <w:t>VIX</w:t>
      </w:r>
    </w:p>
    <w:p w:rsidR="00FB3918" w:rsidRPr="007E2056" w:rsidRDefault="00715058" w:rsidP="0006512D">
      <w:pPr>
        <w:spacing w:line="240" w:lineRule="auto"/>
        <w:jc w:val="center"/>
        <w:textAlignment w:val="baseline"/>
        <w:rPr>
          <w:bCs/>
          <w:color w:val="000000"/>
        </w:rPr>
      </w:pPr>
      <m:oMathPara>
        <m:oMathParaPr>
          <m:jc m:val="left"/>
        </m:oMathParaPr>
        <m:oMath>
          <m:r>
            <w:rPr>
              <w:rFonts w:ascii="Cambria Math" w:eastAsia="Times New Roman" w:hAnsi="Cambria Math"/>
              <w:color w:val="000000"/>
            </w:rPr>
            <m:t>FuturesReturns=</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d>
            <m:dPr>
              <m:ctrlPr>
                <w:rPr>
                  <w:rFonts w:ascii="Cambria Math" w:hAnsi="Cambria Math"/>
                  <w:bCs/>
                  <w:i/>
                  <w:iCs/>
                  <w:color w:val="000000"/>
                </w:rPr>
              </m:ctrlPr>
            </m:dPr>
            <m:e>
              <m:r>
                <w:rPr>
                  <w:rFonts w:ascii="Cambria Math" w:eastAsia="Times New Roman" w:hAnsi="Cambria Math"/>
                  <w:color w:val="000000"/>
                </w:rPr>
                <m:t>FuturesReturn</m:t>
              </m:r>
              <m:sSub>
                <m:sSubPr>
                  <m:ctrlPr>
                    <w:rPr>
                      <w:rFonts w:ascii="Cambria Math" w:hAnsi="Cambria Math"/>
                      <w:bCs/>
                      <w:i/>
                      <w:iCs/>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e>
          </m:d>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7E2056" w:rsidRPr="007E2056" w:rsidRDefault="00DE6453" w:rsidP="0006512D">
      <w:pPr>
        <w:spacing w:line="240" w:lineRule="auto"/>
        <w:jc w:val="center"/>
        <w:textAlignment w:val="baseline"/>
        <w:rPr>
          <w:rFonts w:ascii="Times New Roman" w:eastAsia="Times New Roman" w:hAnsi="Times New Roman" w:cs="Times New Roman"/>
          <w:color w:val="000000"/>
        </w:rPr>
      </w:pPr>
      <m:oMathPara>
        <m:oMathParaPr>
          <m:jc m:val="left"/>
        </m:oMathParaPr>
        <m:oMath>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γ</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1</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e</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2</m:t>
              </m:r>
            </m:sub>
          </m:sSub>
          <m:sSubSup>
            <m:sSubSupPr>
              <m:ctrlPr>
                <w:rPr>
                  <w:rFonts w:ascii="Cambria Math" w:eastAsia="Times New Roman" w:hAnsi="Cambria Math" w:cs="Times New Roman"/>
                  <w:bCs/>
                  <w:i/>
                  <w:iCs/>
                  <w:color w:val="000000"/>
                </w:rPr>
              </m:ctrlPr>
            </m:sSubSupPr>
            <m:e>
              <m:r>
                <w:rPr>
                  <w:rFonts w:ascii="Cambria Math" w:eastAsia="Times New Roman" w:hAnsi="Cambria Math" w:cs="Times New Roman"/>
                  <w:color w:val="000000"/>
                </w:rPr>
                <m:t>σ</m:t>
              </m:r>
            </m:e>
            <m:sub>
              <m:r>
                <w:rPr>
                  <w:rFonts w:ascii="Cambria Math" w:eastAsia="Times New Roman" w:hAnsi="Cambria Math" w:cs="Times New Roman"/>
                  <w:color w:val="000000"/>
                </w:rPr>
                <m:t>t-1</m:t>
              </m:r>
            </m:sub>
            <m:sup>
              <m:r>
                <w:rPr>
                  <w:rFonts w:ascii="Cambria Math" w:eastAsia="Times New Roman" w:hAnsi="Cambria Math" w:cs="Times New Roman"/>
                  <w:color w:val="000000"/>
                </w:rPr>
                <m:t>2</m:t>
              </m:r>
            </m:sup>
          </m:sSubSup>
          <m:r>
            <w:rPr>
              <w:rFonts w:ascii="Cambria Math" w:eastAsia="Times New Roman" w:hAnsi="Cambria Math" w:cs="Times New Roman"/>
              <w:color w:val="000000"/>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r>
            <w:rPr>
              <w:rFonts w:ascii="Cambria Math" w:eastAsia="Times New Roman" w:hAnsi="Cambria Math" w:cs="Times New Roman"/>
              <w:color w:val="000000"/>
            </w:rPr>
            <m:t>(US VIX)</m:t>
          </m:r>
        </m:oMath>
      </m:oMathPara>
    </w:p>
    <w:p w:rsidR="00FB3918" w:rsidRPr="007E2056" w:rsidRDefault="00FB3918" w:rsidP="007E2056">
      <w:pPr>
        <w:spacing w:line="240" w:lineRule="auto"/>
        <w:textAlignment w:val="baseline"/>
        <w:rPr>
          <w:rFonts w:ascii="Times New Roman" w:eastAsia="Times New Roman" w:hAnsi="Times New Roman" w:cs="Times New Roman"/>
          <w:color w:val="000000"/>
        </w:rPr>
      </w:pPr>
    </w:p>
    <w:p w:rsidR="00412E49" w:rsidRDefault="00412E49" w:rsidP="00412E49">
      <w:pPr>
        <w:spacing w:line="480" w:lineRule="auto"/>
        <w:ind w:firstLine="72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asserts that Bitcoin is a speculative asset and finds that Google searches for the word Bitcoin appear to be a proxy for this. </w:t>
      </w:r>
      <w:r w:rsidR="00220FD3">
        <w:rPr>
          <w:rFonts w:ascii="Times New Roman" w:eastAsia="Times New Roman" w:hAnsi="Times New Roman" w:cs="Times New Roman"/>
          <w:bCs/>
          <w:color w:val="000000"/>
          <w:sz w:val="24"/>
          <w:szCs w:val="24"/>
        </w:rPr>
        <w:t>Bitcoin futures may also be a speculative asset which</w:t>
      </w:r>
      <w:r w:rsidR="005E0516">
        <w:rPr>
          <w:rFonts w:ascii="Times New Roman" w:eastAsia="Times New Roman" w:hAnsi="Times New Roman" w:cs="Times New Roman"/>
          <w:bCs/>
          <w:color w:val="000000"/>
          <w:sz w:val="24"/>
          <w:szCs w:val="24"/>
        </w:rPr>
        <w:t>,</w:t>
      </w:r>
      <w:r w:rsidR="00220FD3">
        <w:rPr>
          <w:rFonts w:ascii="Times New Roman" w:eastAsia="Times New Roman" w:hAnsi="Times New Roman" w:cs="Times New Roman"/>
          <w:bCs/>
          <w:color w:val="000000"/>
          <w:sz w:val="24"/>
          <w:szCs w:val="24"/>
        </w:rPr>
        <w:t xml:space="preserve"> in time of turmoil, pure interest may increase the volatility of the underlying asset more so than the volume of Bitcoin </w:t>
      </w:r>
      <w:r w:rsidR="00E96389">
        <w:rPr>
          <w:rFonts w:ascii="Times New Roman" w:eastAsia="Times New Roman" w:hAnsi="Times New Roman" w:cs="Times New Roman"/>
          <w:bCs/>
          <w:color w:val="000000"/>
          <w:sz w:val="24"/>
          <w:szCs w:val="24"/>
        </w:rPr>
        <w:t>f</w:t>
      </w:r>
      <w:r w:rsidR="00220FD3">
        <w:rPr>
          <w:rFonts w:ascii="Times New Roman" w:eastAsia="Times New Roman" w:hAnsi="Times New Roman" w:cs="Times New Roman"/>
          <w:bCs/>
          <w:color w:val="000000"/>
          <w:sz w:val="24"/>
          <w:szCs w:val="24"/>
        </w:rPr>
        <w:t>utures can explain. Further, if Bitcoin futures are</w:t>
      </w:r>
      <w:r w:rsidR="000F19B4">
        <w:rPr>
          <w:rFonts w:ascii="Times New Roman" w:eastAsia="Times New Roman" w:hAnsi="Times New Roman" w:cs="Times New Roman"/>
          <w:bCs/>
          <w:color w:val="000000"/>
          <w:sz w:val="24"/>
          <w:szCs w:val="24"/>
        </w:rPr>
        <w:t xml:space="preserve"> truly a safe-haven to the US stock markets then speculation on Bitcoin should not affect the relationship between Bitcoin futures volatility and the US VIX. </w:t>
      </w:r>
    </w:p>
    <w:p w:rsidR="00412E49" w:rsidRPr="00A06C9C" w:rsidRDefault="00143DBF" w:rsidP="00412E49">
      <w:pPr>
        <w:spacing w:line="240" w:lineRule="auto"/>
        <w:textAlignment w:val="baseline"/>
        <w:rPr>
          <w:rFonts w:ascii="Times New Roman" w:eastAsia="Times New Roman" w:hAnsi="Times New Roman" w:cs="Times New Roman"/>
          <w:b/>
          <w:bCs/>
          <w:color w:val="000000"/>
          <w:szCs w:val="24"/>
          <w:u w:val="single"/>
        </w:rPr>
      </w:pPr>
      <w:r>
        <w:rPr>
          <w:rFonts w:ascii="Times New Roman" w:eastAsia="Times New Roman" w:hAnsi="Times New Roman" w:cs="Times New Roman"/>
          <w:b/>
          <w:bCs/>
          <w:color w:val="000000"/>
          <w:szCs w:val="24"/>
          <w:u w:val="single"/>
        </w:rPr>
        <w:t xml:space="preserve">Model 4 - </w:t>
      </w:r>
      <w:r w:rsidR="00454562">
        <w:rPr>
          <w:rFonts w:ascii="Times New Roman" w:eastAsia="Times New Roman" w:hAnsi="Times New Roman" w:cs="Times New Roman"/>
          <w:b/>
          <w:bCs/>
          <w:color w:val="000000"/>
          <w:szCs w:val="24"/>
          <w:u w:val="single"/>
        </w:rPr>
        <w:t>Augmented</w:t>
      </w:r>
      <w:r w:rsidR="00412E49" w:rsidRPr="00A06C9C">
        <w:rPr>
          <w:rFonts w:ascii="Times New Roman" w:eastAsia="Times New Roman" w:hAnsi="Times New Roman" w:cs="Times New Roman"/>
          <w:b/>
          <w:bCs/>
          <w:color w:val="000000"/>
          <w:szCs w:val="24"/>
          <w:u w:val="single"/>
        </w:rPr>
        <w:t xml:space="preserve"> GARCH Model</w:t>
      </w:r>
      <w:r w:rsidR="00E06CA8">
        <w:rPr>
          <w:rFonts w:ascii="Times New Roman" w:eastAsia="Times New Roman" w:hAnsi="Times New Roman" w:cs="Times New Roman"/>
          <w:b/>
          <w:bCs/>
          <w:color w:val="000000"/>
          <w:szCs w:val="24"/>
          <w:u w:val="single"/>
        </w:rPr>
        <w:t xml:space="preserve"> with Speculative Investment Proxy</w:t>
      </w:r>
    </w:p>
    <w:p w:rsidR="00412E49" w:rsidRPr="00A06C9C" w:rsidRDefault="00412E49" w:rsidP="00412E49">
      <w:pPr>
        <w:spacing w:line="240" w:lineRule="auto"/>
        <w:jc w:val="center"/>
        <w:textAlignment w:val="baseline"/>
        <w:rPr>
          <w:rFonts w:ascii="Times New Roman" w:eastAsia="Times New Roman" w:hAnsi="Times New Roman" w:cs="Times New Roman"/>
          <w:b/>
          <w:bCs/>
          <w:i/>
          <w:color w:val="000000"/>
          <w:szCs w:val="24"/>
          <w:u w:val="single"/>
        </w:rPr>
      </w:pPr>
      <m:oMathPara>
        <m:oMathParaPr>
          <m:jc m:val="left"/>
        </m:oMathParaPr>
        <m:oMath>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b</m:t>
              </m:r>
            </m:e>
            <m:sub>
              <m:r>
                <w:rPr>
                  <w:rFonts w:ascii="Cambria Math" w:eastAsia="Times New Roman" w:hAnsi="Cambria Math"/>
                  <w:color w:val="000000"/>
                </w:rPr>
                <m:t>0</m:t>
              </m:r>
            </m:sub>
          </m:sSub>
          <m:r>
            <w:rPr>
              <w:rFonts w:ascii="Cambria Math" w:eastAsia="Times New Roman" w:hAnsi="Cambria Math"/>
              <w:color w:val="000000"/>
            </w:rPr>
            <m:t xml:space="preserve">+ </m:t>
          </m:r>
          <m:sSub>
            <m:sSubPr>
              <m:ctrlPr>
                <w:rPr>
                  <w:rFonts w:ascii="Cambria Math" w:eastAsia="Times New Roman" w:hAnsi="Cambria Math"/>
                  <w:i/>
                  <w:color w:val="000000"/>
                </w:rPr>
              </m:ctrlPr>
            </m:sSubPr>
            <m:e>
              <m:r>
                <w:rPr>
                  <w:rFonts w:ascii="Cambria Math" w:eastAsia="Times New Roman" w:hAnsi="Cambria Math"/>
                  <w:color w:val="000000"/>
                </w:rPr>
                <m:t>b</m:t>
              </m:r>
            </m:e>
            <m:sub>
              <m:r>
                <w:rPr>
                  <w:rFonts w:ascii="Cambria Math" w:eastAsia="Times New Roman" w:hAnsi="Cambria Math"/>
                  <w:color w:val="000000"/>
                </w:rPr>
                <m:t>1</m:t>
              </m:r>
            </m:sub>
          </m:sSub>
          <m:r>
            <w:rPr>
              <w:rFonts w:ascii="Cambria Math" w:eastAsia="Times New Roman" w:hAnsi="Cambria Math"/>
              <w:color w:val="000000"/>
            </w:rPr>
            <m:t>FuturesReturn</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t-1</m:t>
              </m:r>
            </m:sub>
          </m:sSub>
          <m:r>
            <w:rPr>
              <w:rFonts w:ascii="Cambria Math" w:eastAsia="Times New Roman" w:hAnsi="Cambria Math"/>
              <w:color w:val="000000"/>
            </w:rPr>
            <m:t>+</m:t>
          </m:r>
          <m:sSub>
            <m:sSubPr>
              <m:ctrlPr>
                <w:rPr>
                  <w:rFonts w:ascii="Cambria Math" w:hAnsi="Cambria Math"/>
                  <w:bCs/>
                  <w:i/>
                  <w:iCs/>
                  <w:color w:val="000000"/>
                </w:rPr>
              </m:ctrlPr>
            </m:sSubPr>
            <m:e>
              <m:r>
                <w:rPr>
                  <w:rFonts w:ascii="Cambria Math" w:eastAsia="Times New Roman" w:hAnsi="Cambria Math"/>
                  <w:color w:val="000000"/>
                </w:rPr>
                <m:t>e</m:t>
              </m:r>
            </m:e>
            <m:sub>
              <m:r>
                <w:rPr>
                  <w:rFonts w:ascii="Cambria Math" w:eastAsia="Times New Roman" w:hAnsi="Cambria Math"/>
                  <w:color w:val="000000"/>
                </w:rPr>
                <m:t>t</m:t>
              </m:r>
            </m:sub>
          </m:sSub>
        </m:oMath>
      </m:oMathPara>
    </w:p>
    <w:p w:rsidR="00412E49" w:rsidRPr="0043436E" w:rsidRDefault="00DE6453" w:rsidP="00412E49">
      <w:pPr>
        <w:spacing w:line="240" w:lineRule="auto"/>
        <w:jc w:val="center"/>
        <w:textAlignment w:val="baseline"/>
        <w:rPr>
          <w:rFonts w:ascii="Times New Roman" w:eastAsia="Times New Roman" w:hAnsi="Times New Roman" w:cs="Times New Roman"/>
          <w:bCs/>
          <w:color w:val="000000"/>
          <w:szCs w:val="24"/>
        </w:rPr>
      </w:pPr>
      <m:oMathPara>
        <m:oMathParaPr>
          <m:jc m:val="left"/>
        </m:oMathParaPr>
        <m:oMath>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γ</m:t>
              </m:r>
            </m:e>
            <m:sub>
              <m:r>
                <w:rPr>
                  <w:rFonts w:ascii="Cambria Math" w:eastAsia="Times New Roman" w:hAnsi="Cambria Math" w:cs="Times New Roman"/>
                  <w:color w:val="000000"/>
                  <w:szCs w:val="24"/>
                </w:rPr>
                <m:t>0</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1</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e</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2</m:t>
                  </m:r>
                </m:sub>
              </m:sSub>
              <m:sSubSup>
                <m:sSubSupPr>
                  <m:ctrlPr>
                    <w:rPr>
                      <w:rFonts w:ascii="Cambria Math" w:eastAsia="Times New Roman" w:hAnsi="Cambria Math" w:cs="Times New Roman"/>
                      <w:bCs/>
                      <w:i/>
                      <w:iCs/>
                      <w:color w:val="000000"/>
                      <w:szCs w:val="24"/>
                    </w:rPr>
                  </m:ctrlPr>
                </m:sSubSupPr>
                <m:e>
                  <m:r>
                    <w:rPr>
                      <w:rFonts w:ascii="Cambria Math" w:eastAsia="Times New Roman" w:hAnsi="Cambria Math" w:cs="Times New Roman"/>
                      <w:color w:val="000000"/>
                      <w:szCs w:val="24"/>
                    </w:rPr>
                    <m:t>σ</m:t>
                  </m:r>
                </m:e>
                <m:sub>
                  <m:r>
                    <w:rPr>
                      <w:rFonts w:ascii="Cambria Math" w:eastAsia="Times New Roman" w:hAnsi="Cambria Math" w:cs="Times New Roman"/>
                      <w:color w:val="000000"/>
                      <w:szCs w:val="24"/>
                    </w:rPr>
                    <m:t>t-1</m:t>
                  </m:r>
                </m:sub>
                <m:sup>
                  <m:r>
                    <w:rPr>
                      <w:rFonts w:ascii="Cambria Math" w:eastAsia="Times New Roman" w:hAnsi="Cambria Math" w:cs="Times New Roman"/>
                      <w:color w:val="000000"/>
                      <w:szCs w:val="24"/>
                    </w:rPr>
                    <m:t>2</m:t>
                  </m:r>
                </m:sup>
              </m:sSubSup>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3</m:t>
              </m:r>
            </m:sub>
          </m:sSub>
          <m:r>
            <w:rPr>
              <w:rFonts w:ascii="Cambria Math" w:eastAsia="Times New Roman" w:hAnsi="Cambria Math" w:cs="Times New Roman"/>
              <w:color w:val="000000"/>
              <w:szCs w:val="24"/>
            </w:rPr>
            <m:t>GN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4</m:t>
              </m:r>
            </m:sub>
          </m:sSub>
          <m:r>
            <w:rPr>
              <w:rFonts w:ascii="Cambria Math" w:eastAsia="Times New Roman" w:hAnsi="Cambria Math" w:cs="Times New Roman"/>
              <w:color w:val="000000"/>
              <w:szCs w:val="24"/>
            </w:rPr>
            <m:t>BN</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V</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 xml:space="preserve"> +</m:t>
          </m:r>
          <m:sSub>
            <m:sSubPr>
              <m:ctrlPr>
                <w:rPr>
                  <w:rFonts w:ascii="Cambria Math" w:eastAsia="Times New Roman" w:hAnsi="Cambria Math" w:cs="Times New Roman"/>
                  <w:bCs/>
                  <w:i/>
                  <w:iCs/>
                  <w:color w:val="000000"/>
                  <w:szCs w:val="24"/>
                </w:rPr>
              </m:ctrlPr>
            </m:sSubPr>
            <m:e>
              <m:r>
                <w:rPr>
                  <w:rFonts w:ascii="Cambria Math" w:eastAsia="Times New Roman" w:hAnsi="Cambria Math" w:cs="Times New Roman"/>
                  <w:color w:val="000000"/>
                  <w:szCs w:val="24"/>
                </w:rPr>
                <m:t>a</m:t>
              </m:r>
            </m:e>
            <m:sub>
              <m:r>
                <w:rPr>
                  <w:rFonts w:ascii="Cambria Math" w:eastAsia="Times New Roman" w:hAnsi="Cambria Math" w:cs="Times New Roman"/>
                  <w:color w:val="000000"/>
                  <w:szCs w:val="24"/>
                </w:rPr>
                <m:t>5</m:t>
              </m:r>
            </m:sub>
          </m:sSub>
          <m:r>
            <w:rPr>
              <w:rFonts w:ascii="Cambria Math" w:eastAsia="Times New Roman" w:hAnsi="Cambria Math" w:cs="Times New Roman"/>
              <w:color w:val="000000"/>
              <w:szCs w:val="24"/>
            </w:rPr>
            <m:t>GoogleTrend</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s</m:t>
              </m:r>
            </m:e>
            <m:sub>
              <m:r>
                <w:rPr>
                  <w:rFonts w:ascii="Cambria Math" w:eastAsia="Times New Roman" w:hAnsi="Cambria Math" w:cs="Times New Roman"/>
                  <w:color w:val="000000"/>
                  <w:szCs w:val="24"/>
                </w:rPr>
                <m:t>t</m:t>
              </m:r>
            </m:sub>
          </m:sSub>
          <m:r>
            <w:rPr>
              <w:rFonts w:ascii="Cambria Math" w:eastAsia="Times New Roman" w:hAnsi="Cambria Math" w:cs="Times New Roman"/>
              <w:color w:val="000000"/>
              <w:szCs w:val="24"/>
            </w:rPr>
            <m:t>+</m:t>
          </m:r>
          <m:sSub>
            <m:sSubPr>
              <m:ctrlPr>
                <w:rPr>
                  <w:rFonts w:ascii="Cambria Math" w:eastAsia="Times New Roman" w:hAnsi="Cambria Math" w:cs="Times New Roman"/>
                  <w:bCs/>
                  <w:i/>
                  <w:iCs/>
                  <w:color w:val="000000"/>
                </w:rPr>
              </m:ctrlPr>
            </m:sSubPr>
            <m:e>
              <m:r>
                <w:rPr>
                  <w:rFonts w:ascii="Cambria Math" w:eastAsia="Times New Roman" w:hAnsi="Cambria Math" w:cs="Times New Roman"/>
                  <w:color w:val="000000"/>
                </w:rPr>
                <m:t>a</m:t>
              </m:r>
            </m:e>
            <m:sub>
              <m:r>
                <w:rPr>
                  <w:rFonts w:ascii="Cambria Math" w:eastAsia="Times New Roman" w:hAnsi="Cambria Math" w:cs="Times New Roman"/>
                  <w:color w:val="000000"/>
                </w:rPr>
                <m:t>6</m:t>
              </m:r>
            </m:sub>
          </m:sSub>
          <m:d>
            <m:dPr>
              <m:ctrlPr>
                <w:rPr>
                  <w:rFonts w:ascii="Cambria Math" w:eastAsia="Times New Roman" w:hAnsi="Cambria Math" w:cs="Times New Roman"/>
                  <w:i/>
                  <w:color w:val="000000"/>
                </w:rPr>
              </m:ctrlPr>
            </m:dPr>
            <m:e>
              <m:r>
                <w:rPr>
                  <w:rFonts w:ascii="Cambria Math" w:eastAsia="Times New Roman" w:hAnsi="Cambria Math" w:cs="Times New Roman"/>
                  <w:color w:val="000000"/>
                </w:rPr>
                <m:t>US VIX</m:t>
              </m:r>
            </m:e>
          </m:d>
          <m:r>
            <w:rPr>
              <w:rFonts w:ascii="Cambria Math" w:eastAsia="Times New Roman" w:hAnsi="Cambria Math" w:cs="Times New Roman"/>
              <w:color w:val="000000"/>
              <w:szCs w:val="24"/>
            </w:rPr>
            <m:t xml:space="preserve"> </m:t>
          </m:r>
        </m:oMath>
      </m:oMathPara>
    </w:p>
    <w:p w:rsidR="004C1CD2" w:rsidRDefault="004C1CD2">
      <w:pPr>
        <w:spacing w:line="480" w:lineRule="auto"/>
        <w:textAlignment w:val="baseline"/>
        <w:rPr>
          <w:rFonts w:ascii="Times New Roman" w:eastAsia="Times New Roman" w:hAnsi="Times New Roman" w:cs="Times New Roman"/>
          <w:bCs/>
          <w:color w:val="000000"/>
          <w:sz w:val="24"/>
          <w:szCs w:val="24"/>
        </w:rPr>
      </w:pP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Results </w:t>
      </w:r>
    </w:p>
    <w:p w:rsidR="005650C8" w:rsidRDefault="00BF0A25"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Prior researchers find that gold and Bitcoin under certain conditions have an asymmetric volatility in their returns such that when returns are positive, volatility increases. Authors attribute this effect to </w:t>
      </w:r>
      <w:r w:rsidR="005650C8">
        <w:rPr>
          <w:rFonts w:ascii="Times New Roman" w:eastAsia="Times New Roman" w:hAnsi="Times New Roman" w:cs="Times New Roman"/>
          <w:bCs/>
          <w:color w:val="000000"/>
          <w:sz w:val="24"/>
          <w:szCs w:val="24"/>
        </w:rPr>
        <w:t>a</w:t>
      </w:r>
      <w:r>
        <w:rPr>
          <w:rFonts w:ascii="Times New Roman" w:eastAsia="Times New Roman" w:hAnsi="Times New Roman" w:cs="Times New Roman"/>
          <w:bCs/>
          <w:color w:val="000000"/>
          <w:sz w:val="24"/>
          <w:szCs w:val="24"/>
        </w:rPr>
        <w:t xml:space="preserve"> commodity acting as a safe-haven</w:t>
      </w:r>
      <w:r w:rsidR="005650C8">
        <w:rPr>
          <w:rFonts w:ascii="Times New Roman" w:eastAsia="Times New Roman" w:hAnsi="Times New Roman" w:cs="Times New Roman"/>
          <w:bCs/>
          <w:color w:val="000000"/>
          <w:sz w:val="24"/>
          <w:szCs w:val="24"/>
        </w:rPr>
        <w:t xml:space="preserve"> where</w:t>
      </w:r>
      <w:r w:rsidR="001962FE">
        <w:rPr>
          <w:rFonts w:ascii="Times New Roman" w:eastAsia="Times New Roman" w:hAnsi="Times New Roman" w:cs="Times New Roman"/>
          <w:bCs/>
          <w:color w:val="000000"/>
          <w:sz w:val="24"/>
          <w:szCs w:val="24"/>
        </w:rPr>
        <w:t xml:space="preserve"> stock</w:t>
      </w:r>
      <w:r w:rsidR="005650C8">
        <w:rPr>
          <w:rFonts w:ascii="Times New Roman" w:eastAsia="Times New Roman" w:hAnsi="Times New Roman" w:cs="Times New Roman"/>
          <w:bCs/>
          <w:color w:val="000000"/>
          <w:sz w:val="24"/>
          <w:szCs w:val="24"/>
        </w:rPr>
        <w:t xml:space="preserve"> market turmoil </w:t>
      </w:r>
      <w:r w:rsidR="001962FE">
        <w:rPr>
          <w:rFonts w:ascii="Times New Roman" w:eastAsia="Times New Roman" w:hAnsi="Times New Roman" w:cs="Times New Roman"/>
          <w:bCs/>
          <w:color w:val="000000"/>
          <w:sz w:val="24"/>
          <w:szCs w:val="24"/>
        </w:rPr>
        <w:t xml:space="preserve">volatility </w:t>
      </w:r>
      <w:r w:rsidR="005650C8">
        <w:rPr>
          <w:rFonts w:ascii="Times New Roman" w:eastAsia="Times New Roman" w:hAnsi="Times New Roman" w:cs="Times New Roman"/>
          <w:bCs/>
          <w:color w:val="000000"/>
          <w:sz w:val="24"/>
          <w:szCs w:val="24"/>
        </w:rPr>
        <w:t>is transmitted to the commodity markets</w:t>
      </w:r>
      <w:r>
        <w:rPr>
          <w:rFonts w:ascii="Times New Roman" w:eastAsia="Times New Roman" w:hAnsi="Times New Roman" w:cs="Times New Roman"/>
          <w:bCs/>
          <w:color w:val="000000"/>
          <w:sz w:val="24"/>
          <w:szCs w:val="24"/>
        </w:rPr>
        <w:t xml:space="preserve">. </w:t>
      </w:r>
      <w:r w:rsidR="005C2CC6">
        <w:rPr>
          <w:rFonts w:ascii="Times New Roman" w:eastAsia="Times New Roman" w:hAnsi="Times New Roman" w:cs="Times New Roman"/>
          <w:bCs/>
          <w:color w:val="000000"/>
          <w:sz w:val="24"/>
          <w:szCs w:val="24"/>
        </w:rPr>
        <w:t xml:space="preserve">Several models are estimated to </w:t>
      </w:r>
      <w:r w:rsidR="005650C8">
        <w:rPr>
          <w:rFonts w:ascii="Times New Roman" w:eastAsia="Times New Roman" w:hAnsi="Times New Roman" w:cs="Times New Roman"/>
          <w:bCs/>
          <w:color w:val="000000"/>
          <w:sz w:val="24"/>
          <w:szCs w:val="24"/>
        </w:rPr>
        <w:t xml:space="preserve">find a similar </w:t>
      </w:r>
      <w:r w:rsidR="005650C8" w:rsidRPr="005650C8">
        <w:rPr>
          <w:rFonts w:ascii="Times New Roman" w:eastAsia="Times New Roman" w:hAnsi="Times New Roman" w:cs="Times New Roman"/>
          <w:bCs/>
          <w:color w:val="000000"/>
          <w:sz w:val="24"/>
          <w:szCs w:val="24"/>
        </w:rPr>
        <w:t>phenomenon</w:t>
      </w:r>
      <w:r w:rsidR="005650C8">
        <w:rPr>
          <w:rFonts w:ascii="Times New Roman" w:eastAsia="Times New Roman" w:hAnsi="Times New Roman" w:cs="Times New Roman"/>
          <w:bCs/>
          <w:color w:val="000000"/>
          <w:sz w:val="24"/>
          <w:szCs w:val="24"/>
        </w:rPr>
        <w:t xml:space="preserve"> in Bitcoin futures returns and</w:t>
      </w:r>
      <w:r w:rsidR="005C2CC6">
        <w:rPr>
          <w:rFonts w:ascii="Times New Roman" w:eastAsia="Times New Roman" w:hAnsi="Times New Roman" w:cs="Times New Roman"/>
          <w:bCs/>
          <w:color w:val="000000"/>
          <w:sz w:val="24"/>
          <w:szCs w:val="24"/>
        </w:rPr>
        <w:t xml:space="preserve"> the results are</w:t>
      </w:r>
      <w:r w:rsidR="005650C8">
        <w:rPr>
          <w:rFonts w:ascii="Times New Roman" w:eastAsia="Times New Roman" w:hAnsi="Times New Roman" w:cs="Times New Roman"/>
          <w:bCs/>
          <w:color w:val="000000"/>
          <w:sz w:val="24"/>
          <w:szCs w:val="24"/>
        </w:rPr>
        <w:t xml:space="preserve"> discuss</w:t>
      </w:r>
      <w:r w:rsidR="005C2CC6">
        <w:rPr>
          <w:rFonts w:ascii="Times New Roman" w:eastAsia="Times New Roman" w:hAnsi="Times New Roman" w:cs="Times New Roman"/>
          <w:bCs/>
          <w:color w:val="000000"/>
          <w:sz w:val="24"/>
          <w:szCs w:val="24"/>
        </w:rPr>
        <w:t>ed</w:t>
      </w:r>
      <w:r w:rsidR="005650C8">
        <w:rPr>
          <w:rFonts w:ascii="Times New Roman" w:eastAsia="Times New Roman" w:hAnsi="Times New Roman" w:cs="Times New Roman"/>
          <w:bCs/>
          <w:color w:val="000000"/>
          <w:sz w:val="24"/>
          <w:szCs w:val="24"/>
        </w:rPr>
        <w:t xml:space="preserve"> in this section. </w:t>
      </w:r>
    </w:p>
    <w:p w:rsidR="00CF7D96" w:rsidRDefault="005650C8"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Employing Model 1, the asymmetric volatility parameter,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statistically significant and positive; indicating that under normal market conditions, positive returns indicate more volatility </w:t>
      </w:r>
      <w:r>
        <w:rPr>
          <w:rFonts w:ascii="Times New Roman" w:eastAsia="Times New Roman" w:hAnsi="Times New Roman" w:cs="Times New Roman"/>
          <w:bCs/>
          <w:color w:val="000000"/>
          <w:sz w:val="24"/>
          <w:szCs w:val="24"/>
        </w:rPr>
        <w:lastRenderedPageBreak/>
        <w:t xml:space="preserve">like the relationship found in </w:t>
      </w:r>
      <w:proofErr w:type="spellStart"/>
      <w:r>
        <w:rPr>
          <w:rFonts w:ascii="Times New Roman" w:eastAsia="Times New Roman" w:hAnsi="Times New Roman" w:cs="Times New Roman"/>
          <w:bCs/>
          <w:color w:val="000000"/>
          <w:sz w:val="24"/>
          <w:szCs w:val="24"/>
        </w:rPr>
        <w:t>Bour</w:t>
      </w:r>
      <w:proofErr w:type="spellEnd"/>
      <w:r>
        <w:rPr>
          <w:rFonts w:ascii="Times New Roman" w:eastAsia="Times New Roman" w:hAnsi="Times New Roman" w:cs="Times New Roman"/>
          <w:bCs/>
          <w:color w:val="000000"/>
          <w:sz w:val="24"/>
          <w:szCs w:val="24"/>
        </w:rPr>
        <w:t xml:space="preserve"> (2012). However, the relationship does not hold for the entire sample</w:t>
      </w:r>
      <w:r w:rsidR="005C2CC6">
        <w:rPr>
          <w:rFonts w:ascii="Times New Roman" w:eastAsia="Times New Roman" w:hAnsi="Times New Roman" w:cs="Times New Roman"/>
          <w:bCs/>
          <w:color w:val="000000"/>
          <w:sz w:val="24"/>
          <w:szCs w:val="24"/>
        </w:rPr>
        <w:t xml:space="preserve"> as the</w:t>
      </w:r>
      <w:r>
        <w:rPr>
          <w:rFonts w:ascii="Times New Roman" w:eastAsia="Times New Roman" w:hAnsi="Times New Roman" w:cs="Times New Roman"/>
          <w:bCs/>
          <w:color w:val="000000"/>
          <w:sz w:val="24"/>
          <w:szCs w:val="24"/>
        </w:rPr>
        <w:t xml:space="preserve"> full sample a</w:t>
      </w:r>
      <w:r w:rsidRPr="005650C8">
        <w:rPr>
          <w:rFonts w:ascii="Times New Roman" w:eastAsia="Times New Roman" w:hAnsi="Times New Roman" w:cs="Times New Roman"/>
          <w:bCs/>
          <w:color w:val="000000"/>
          <w:sz w:val="24"/>
          <w:szCs w:val="24"/>
          <w:vertAlign w:val="subscript"/>
        </w:rPr>
        <w:t>7</w:t>
      </w:r>
      <w:r>
        <w:rPr>
          <w:rFonts w:ascii="Times New Roman" w:eastAsia="Times New Roman" w:hAnsi="Times New Roman" w:cs="Times New Roman"/>
          <w:bCs/>
          <w:color w:val="000000"/>
          <w:sz w:val="24"/>
          <w:szCs w:val="24"/>
        </w:rPr>
        <w:t xml:space="preserve"> is not statistically significant</w:t>
      </w:r>
      <w:r w:rsidR="005C2CC6">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Results for model 1 are shown in Table 2. </w:t>
      </w:r>
    </w:p>
    <w:p w:rsidR="005650C8" w:rsidRDefault="005C2CC6" w:rsidP="005650C8">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Incorporating good news and bad news volume </w:t>
      </w:r>
      <w:r w:rsidR="005E0516">
        <w:rPr>
          <w:rFonts w:ascii="Times New Roman" w:eastAsia="Times New Roman" w:hAnsi="Times New Roman" w:cs="Times New Roman"/>
          <w:bCs/>
          <w:color w:val="000000"/>
          <w:sz w:val="24"/>
          <w:szCs w:val="24"/>
        </w:rPr>
        <w:t>following</w:t>
      </w:r>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Depken</w:t>
      </w:r>
      <w:proofErr w:type="spellEnd"/>
      <w:r>
        <w:rPr>
          <w:rFonts w:ascii="Times New Roman" w:eastAsia="Times New Roman" w:hAnsi="Times New Roman" w:cs="Times New Roman"/>
          <w:bCs/>
          <w:color w:val="000000"/>
          <w:sz w:val="24"/>
          <w:szCs w:val="24"/>
        </w:rPr>
        <w:t xml:space="preserve"> (2001) </w:t>
      </w:r>
      <w:r w:rsidR="00B7793C">
        <w:rPr>
          <w:rFonts w:ascii="Times New Roman" w:eastAsia="Times New Roman" w:hAnsi="Times New Roman" w:cs="Times New Roman"/>
          <w:bCs/>
          <w:color w:val="000000"/>
          <w:sz w:val="24"/>
          <w:szCs w:val="24"/>
        </w:rPr>
        <w:t>shows</w:t>
      </w:r>
      <w:r>
        <w:rPr>
          <w:rFonts w:ascii="Times New Roman" w:eastAsia="Times New Roman" w:hAnsi="Times New Roman" w:cs="Times New Roman"/>
          <w:bCs/>
          <w:color w:val="000000"/>
          <w:sz w:val="24"/>
          <w:szCs w:val="24"/>
        </w:rPr>
        <w:t xml:space="preserve"> that volume associated with good news is positive but not statistically different from bad news volume for the full </w:t>
      </w:r>
      <w:r w:rsidR="00C87D7E">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xml:space="preserve">. Again, </w:t>
      </w:r>
      <w:r w:rsidR="00B7793C">
        <w:rPr>
          <w:rFonts w:ascii="Times New Roman" w:eastAsia="Times New Roman" w:hAnsi="Times New Roman" w:cs="Times New Roman"/>
          <w:bCs/>
          <w:color w:val="000000"/>
          <w:sz w:val="24"/>
          <w:szCs w:val="24"/>
        </w:rPr>
        <w:t>this reinforces the argument</w:t>
      </w:r>
      <w:r>
        <w:rPr>
          <w:rFonts w:ascii="Times New Roman" w:eastAsia="Times New Roman" w:hAnsi="Times New Roman" w:cs="Times New Roman"/>
          <w:bCs/>
          <w:color w:val="000000"/>
          <w:sz w:val="24"/>
          <w:szCs w:val="24"/>
        </w:rPr>
        <w:t xml:space="preserve"> that there is not an asymmetry for the commodity.</w:t>
      </w:r>
      <w:r w:rsidR="00CF7D96">
        <w:rPr>
          <w:rFonts w:ascii="Times New Roman" w:eastAsia="Times New Roman" w:hAnsi="Times New Roman" w:cs="Times New Roman"/>
          <w:bCs/>
          <w:color w:val="000000"/>
          <w:sz w:val="24"/>
          <w:szCs w:val="24"/>
        </w:rPr>
        <w:t xml:space="preserve"> Interestingly, the Gold ETF index return series, SPDR, also exhibits similar characteristics as Bitcoin future returns under the same framework as model 2.</w:t>
      </w:r>
      <w:r w:rsidR="00C87D7E">
        <w:rPr>
          <w:rFonts w:ascii="Times New Roman" w:eastAsia="Times New Roman" w:hAnsi="Times New Roman" w:cs="Times New Roman"/>
          <w:bCs/>
          <w:color w:val="000000"/>
          <w:sz w:val="24"/>
          <w:szCs w:val="24"/>
        </w:rPr>
        <w:t xml:space="preserve"> </w:t>
      </w:r>
      <w:r w:rsidR="00CF7D96">
        <w:rPr>
          <w:rFonts w:ascii="Times New Roman" w:eastAsia="Times New Roman" w:hAnsi="Times New Roman" w:cs="Times New Roman"/>
          <w:bCs/>
          <w:color w:val="000000"/>
          <w:sz w:val="24"/>
          <w:szCs w:val="24"/>
        </w:rPr>
        <w:t xml:space="preserve">Gold returns do not show signs of asymmetry where good and bad news volumes are not statistically different from each other. </w:t>
      </w:r>
      <w:r w:rsidR="00C87D7E">
        <w:rPr>
          <w:rFonts w:ascii="Times New Roman" w:eastAsia="Times New Roman" w:hAnsi="Times New Roman" w:cs="Times New Roman"/>
          <w:bCs/>
          <w:color w:val="000000"/>
          <w:sz w:val="24"/>
          <w:szCs w:val="24"/>
        </w:rPr>
        <w:t>During this time, the S</w:t>
      </w:r>
      <w:r w:rsidR="00B7793C">
        <w:rPr>
          <w:rFonts w:ascii="Times New Roman" w:eastAsia="Times New Roman" w:hAnsi="Times New Roman" w:cs="Times New Roman"/>
          <w:bCs/>
          <w:color w:val="000000"/>
          <w:sz w:val="24"/>
          <w:szCs w:val="24"/>
        </w:rPr>
        <w:t>&amp;</w:t>
      </w:r>
      <w:r w:rsidR="00C87D7E">
        <w:rPr>
          <w:rFonts w:ascii="Times New Roman" w:eastAsia="Times New Roman" w:hAnsi="Times New Roman" w:cs="Times New Roman"/>
          <w:bCs/>
          <w:color w:val="000000"/>
          <w:sz w:val="24"/>
          <w:szCs w:val="24"/>
        </w:rPr>
        <w:t xml:space="preserve">P 500 index does show signs of an asymmetry </w:t>
      </w:r>
      <w:r w:rsidR="00F03312">
        <w:rPr>
          <w:rFonts w:ascii="Times New Roman" w:eastAsia="Times New Roman" w:hAnsi="Times New Roman" w:cs="Times New Roman"/>
          <w:bCs/>
          <w:color w:val="000000"/>
          <w:sz w:val="24"/>
          <w:szCs w:val="24"/>
        </w:rPr>
        <w:t>in its second moment. Good news volume decreases volatility and is statistically different than bad news which is estimated to increase. Results are shown in Table 3 for all three models.</w:t>
      </w:r>
    </w:p>
    <w:p w:rsidR="00F03312" w:rsidRDefault="001962FE" w:rsidP="008119AD">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In model 3</w:t>
      </w:r>
      <w:r w:rsidR="00B7793C">
        <w:rPr>
          <w:rFonts w:ascii="Times New Roman" w:eastAsia="Times New Roman" w:hAnsi="Times New Roman" w:cs="Times New Roman"/>
          <w:bCs/>
          <w:color w:val="000000"/>
          <w:sz w:val="24"/>
          <w:szCs w:val="24"/>
        </w:rPr>
        <w:t xml:space="preserve"> of Table 2</w:t>
      </w:r>
      <w:r>
        <w:rPr>
          <w:rFonts w:ascii="Times New Roman" w:eastAsia="Times New Roman" w:hAnsi="Times New Roman" w:cs="Times New Roman"/>
          <w:bCs/>
          <w:color w:val="000000"/>
          <w:sz w:val="24"/>
          <w:szCs w:val="24"/>
        </w:rPr>
        <w:t xml:space="preserve">, </w:t>
      </w:r>
      <w:r w:rsidR="00F03312">
        <w:rPr>
          <w:rFonts w:ascii="Times New Roman" w:eastAsia="Times New Roman" w:hAnsi="Times New Roman" w:cs="Times New Roman"/>
          <w:bCs/>
          <w:color w:val="000000"/>
          <w:sz w:val="24"/>
          <w:szCs w:val="24"/>
        </w:rPr>
        <w:t xml:space="preserve">I relate the VIX to the volatility of the Bitcoin future market to </w:t>
      </w:r>
      <w:r>
        <w:rPr>
          <w:rFonts w:ascii="Times New Roman" w:eastAsia="Times New Roman" w:hAnsi="Times New Roman" w:cs="Times New Roman"/>
          <w:bCs/>
          <w:color w:val="000000"/>
          <w:sz w:val="24"/>
          <w:szCs w:val="24"/>
        </w:rPr>
        <w:t xml:space="preserve">implicitly relate market </w:t>
      </w:r>
      <w:r w:rsidR="007C7949">
        <w:rPr>
          <w:rFonts w:ascii="Times New Roman" w:eastAsia="Times New Roman" w:hAnsi="Times New Roman" w:cs="Times New Roman"/>
          <w:bCs/>
          <w:color w:val="000000"/>
          <w:sz w:val="24"/>
          <w:szCs w:val="24"/>
        </w:rPr>
        <w:t>volatility</w:t>
      </w:r>
      <w:r>
        <w:rPr>
          <w:rFonts w:ascii="Times New Roman" w:eastAsia="Times New Roman" w:hAnsi="Times New Roman" w:cs="Times New Roman"/>
          <w:bCs/>
          <w:color w:val="000000"/>
          <w:sz w:val="24"/>
          <w:szCs w:val="24"/>
        </w:rPr>
        <w:t xml:space="preserve"> to Bitcoin future volatility.</w:t>
      </w:r>
      <w:r w:rsidR="00F03312">
        <w:rPr>
          <w:rFonts w:ascii="Times New Roman" w:eastAsia="Times New Roman" w:hAnsi="Times New Roman" w:cs="Times New Roman"/>
          <w:bCs/>
          <w:color w:val="000000"/>
          <w:sz w:val="24"/>
          <w:szCs w:val="24"/>
        </w:rPr>
        <w:t xml:space="preserve"> </w:t>
      </w:r>
      <w:r w:rsidR="007C7949">
        <w:rPr>
          <w:rFonts w:ascii="Times New Roman" w:eastAsia="Times New Roman" w:hAnsi="Times New Roman" w:cs="Times New Roman"/>
          <w:bCs/>
          <w:color w:val="000000"/>
          <w:sz w:val="24"/>
          <w:szCs w:val="24"/>
        </w:rPr>
        <w:t>The</w:t>
      </w:r>
      <w:r w:rsidR="00F03312">
        <w:rPr>
          <w:rFonts w:ascii="Times New Roman" w:eastAsia="Times New Roman" w:hAnsi="Times New Roman" w:cs="Times New Roman"/>
          <w:bCs/>
          <w:color w:val="000000"/>
          <w:sz w:val="24"/>
          <w:szCs w:val="24"/>
        </w:rPr>
        <w:t xml:space="preserve"> results suggest that there is a negative relationship between Bitcoin futures return volatility and the US VIX during the turmoil dataset, from December 12</w:t>
      </w:r>
      <w:r w:rsidR="00F03312" w:rsidRPr="00F03312">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2017</w:t>
      </w:r>
      <w:r w:rsidR="008119AD">
        <w:rPr>
          <w:rFonts w:ascii="Times New Roman" w:eastAsia="Times New Roman" w:hAnsi="Times New Roman" w:cs="Times New Roman"/>
          <w:bCs/>
          <w:color w:val="000000"/>
          <w:sz w:val="24"/>
          <w:szCs w:val="24"/>
        </w:rPr>
        <w:t xml:space="preserve"> </w:t>
      </w:r>
      <w:r w:rsidR="00F03312">
        <w:rPr>
          <w:rFonts w:ascii="Times New Roman" w:eastAsia="Times New Roman" w:hAnsi="Times New Roman" w:cs="Times New Roman"/>
          <w:bCs/>
          <w:color w:val="000000"/>
          <w:sz w:val="24"/>
          <w:szCs w:val="24"/>
        </w:rPr>
        <w:t>to</w:t>
      </w:r>
      <w:r w:rsidR="008119AD" w:rsidRPr="008119AD">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March 9</w:t>
      </w:r>
      <w:r w:rsidR="008119AD" w:rsidRPr="00381F54">
        <w:rPr>
          <w:rFonts w:ascii="Times New Roman" w:eastAsia="Times New Roman" w:hAnsi="Times New Roman" w:cs="Times New Roman"/>
          <w:bCs/>
          <w:color w:val="000000"/>
          <w:sz w:val="24"/>
          <w:szCs w:val="24"/>
          <w:vertAlign w:val="superscript"/>
        </w:rPr>
        <w:t>th</w:t>
      </w:r>
      <w:r>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2018</w:t>
      </w:r>
      <w:r w:rsidR="00F03312">
        <w:rPr>
          <w:rFonts w:ascii="Times New Roman" w:eastAsia="Times New Roman" w:hAnsi="Times New Roman" w:cs="Times New Roman"/>
          <w:bCs/>
          <w:color w:val="000000"/>
          <w:sz w:val="24"/>
          <w:szCs w:val="24"/>
        </w:rPr>
        <w:t xml:space="preserve">. Charts 1 </w:t>
      </w:r>
      <w:r w:rsidR="00AC537A">
        <w:rPr>
          <w:rFonts w:ascii="Times New Roman" w:eastAsia="Times New Roman" w:hAnsi="Times New Roman" w:cs="Times New Roman"/>
          <w:bCs/>
          <w:color w:val="000000"/>
          <w:sz w:val="24"/>
          <w:szCs w:val="24"/>
        </w:rPr>
        <w:t>and</w:t>
      </w:r>
      <w:r w:rsidR="00F03312">
        <w:rPr>
          <w:rFonts w:ascii="Times New Roman" w:eastAsia="Times New Roman" w:hAnsi="Times New Roman" w:cs="Times New Roman"/>
          <w:bCs/>
          <w:color w:val="000000"/>
          <w:sz w:val="24"/>
          <w:szCs w:val="24"/>
        </w:rPr>
        <w:t xml:space="preserve"> 2 make this notion clear</w:t>
      </w:r>
      <w:r w:rsidR="008119AD">
        <w:rPr>
          <w:rFonts w:ascii="Times New Roman" w:eastAsia="Times New Roman" w:hAnsi="Times New Roman" w:cs="Times New Roman"/>
          <w:bCs/>
          <w:color w:val="000000"/>
          <w:sz w:val="24"/>
          <w:szCs w:val="24"/>
        </w:rPr>
        <w:t xml:space="preserve"> that there appears to be a negative correlation between VIX and Bitcoin </w:t>
      </w:r>
      <w:r w:rsidR="001005E5">
        <w:rPr>
          <w:rFonts w:ascii="Times New Roman" w:eastAsia="Times New Roman" w:hAnsi="Times New Roman" w:cs="Times New Roman"/>
          <w:bCs/>
          <w:color w:val="000000"/>
          <w:sz w:val="24"/>
          <w:szCs w:val="24"/>
        </w:rPr>
        <w:t>f</w:t>
      </w:r>
      <w:r w:rsidR="008119AD">
        <w:rPr>
          <w:rFonts w:ascii="Times New Roman" w:eastAsia="Times New Roman" w:hAnsi="Times New Roman" w:cs="Times New Roman"/>
          <w:bCs/>
          <w:color w:val="000000"/>
          <w:sz w:val="24"/>
          <w:szCs w:val="24"/>
        </w:rPr>
        <w:t>utures return volatility</w:t>
      </w:r>
      <w:r w:rsidR="00F03312">
        <w:rPr>
          <w:rFonts w:ascii="Times New Roman" w:eastAsia="Times New Roman" w:hAnsi="Times New Roman" w:cs="Times New Roman"/>
          <w:bCs/>
          <w:color w:val="000000"/>
          <w:sz w:val="24"/>
          <w:szCs w:val="24"/>
        </w:rPr>
        <w:t>.</w:t>
      </w:r>
      <w:r w:rsidR="008119AD">
        <w:rPr>
          <w:rFonts w:ascii="Times New Roman" w:eastAsia="Times New Roman" w:hAnsi="Times New Roman" w:cs="Times New Roman"/>
          <w:bCs/>
          <w:color w:val="000000"/>
          <w:sz w:val="24"/>
          <w:szCs w:val="24"/>
        </w:rPr>
        <w:t xml:space="preserve"> </w:t>
      </w:r>
      <w:r w:rsidR="001005E5">
        <w:rPr>
          <w:rFonts w:ascii="Times New Roman" w:eastAsia="Times New Roman" w:hAnsi="Times New Roman" w:cs="Times New Roman"/>
          <w:bCs/>
          <w:color w:val="000000"/>
          <w:sz w:val="24"/>
          <w:szCs w:val="24"/>
        </w:rPr>
        <w:t xml:space="preserve">Chart 1 shows the volatility of Bitcoin futures returns over time as modeled by a GARCH (1,1) process and Chart 2 depicts the VIX over time. </w:t>
      </w:r>
      <w:r w:rsidR="00B7793C">
        <w:rPr>
          <w:rFonts w:ascii="Times New Roman" w:eastAsia="Times New Roman" w:hAnsi="Times New Roman" w:cs="Times New Roman"/>
          <w:bCs/>
          <w:color w:val="000000"/>
          <w:sz w:val="24"/>
          <w:szCs w:val="24"/>
        </w:rPr>
        <w:t>Thus</w:t>
      </w:r>
      <w:r w:rsidR="008119AD">
        <w:rPr>
          <w:rFonts w:ascii="Times New Roman" w:eastAsia="Times New Roman" w:hAnsi="Times New Roman" w:cs="Times New Roman"/>
          <w:bCs/>
          <w:color w:val="000000"/>
          <w:sz w:val="24"/>
          <w:szCs w:val="24"/>
        </w:rPr>
        <w:t xml:space="preserve">, as market volatility increases, </w:t>
      </w:r>
      <w:r w:rsidR="001005E5">
        <w:rPr>
          <w:rFonts w:ascii="Times New Roman" w:eastAsia="Times New Roman" w:hAnsi="Times New Roman" w:cs="Times New Roman"/>
          <w:bCs/>
          <w:color w:val="000000"/>
          <w:sz w:val="24"/>
          <w:szCs w:val="24"/>
        </w:rPr>
        <w:t>B</w:t>
      </w:r>
      <w:r w:rsidR="008119AD">
        <w:rPr>
          <w:rFonts w:ascii="Times New Roman" w:eastAsia="Times New Roman" w:hAnsi="Times New Roman" w:cs="Times New Roman"/>
          <w:bCs/>
          <w:color w:val="000000"/>
          <w:sz w:val="24"/>
          <w:szCs w:val="24"/>
        </w:rPr>
        <w:t xml:space="preserve">itcoin </w:t>
      </w:r>
      <w:r w:rsidR="001005E5">
        <w:rPr>
          <w:rFonts w:ascii="Times New Roman" w:eastAsia="Times New Roman" w:hAnsi="Times New Roman" w:cs="Times New Roman"/>
          <w:bCs/>
          <w:color w:val="000000"/>
          <w:sz w:val="24"/>
          <w:szCs w:val="24"/>
        </w:rPr>
        <w:t>future</w:t>
      </w:r>
      <w:r w:rsidR="00B7793C">
        <w:rPr>
          <w:rFonts w:ascii="Times New Roman" w:eastAsia="Times New Roman" w:hAnsi="Times New Roman" w:cs="Times New Roman"/>
          <w:bCs/>
          <w:color w:val="000000"/>
          <w:sz w:val="24"/>
          <w:szCs w:val="24"/>
        </w:rPr>
        <w:t>s</w:t>
      </w:r>
      <w:r w:rsidR="001005E5">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volatility decreases.</w:t>
      </w:r>
      <w:r w:rsidR="001005E5">
        <w:rPr>
          <w:rFonts w:ascii="Times New Roman" w:eastAsia="Times New Roman" w:hAnsi="Times New Roman" w:cs="Times New Roman"/>
          <w:bCs/>
          <w:color w:val="000000"/>
          <w:sz w:val="24"/>
          <w:szCs w:val="24"/>
        </w:rPr>
        <w:t xml:space="preserve"> </w:t>
      </w:r>
      <w:r w:rsidR="008119AD">
        <w:rPr>
          <w:rFonts w:ascii="Times New Roman" w:eastAsia="Times New Roman" w:hAnsi="Times New Roman" w:cs="Times New Roman"/>
          <w:bCs/>
          <w:color w:val="000000"/>
          <w:sz w:val="24"/>
          <w:szCs w:val="24"/>
        </w:rPr>
        <w:t>Yet, the negative correlation does not maintain throughout the sample as in normal market conditions, the VIX parameter, a</w:t>
      </w:r>
      <w:r w:rsidR="008119AD" w:rsidRPr="008119AD">
        <w:rPr>
          <w:rFonts w:ascii="Times New Roman" w:eastAsia="Times New Roman" w:hAnsi="Times New Roman" w:cs="Times New Roman"/>
          <w:bCs/>
          <w:color w:val="000000"/>
          <w:sz w:val="24"/>
          <w:szCs w:val="24"/>
          <w:vertAlign w:val="subscript"/>
        </w:rPr>
        <w:t>6</w:t>
      </w:r>
      <w:r w:rsidR="008119AD">
        <w:rPr>
          <w:rFonts w:ascii="Times New Roman" w:eastAsia="Times New Roman" w:hAnsi="Times New Roman" w:cs="Times New Roman"/>
          <w:bCs/>
          <w:color w:val="000000"/>
          <w:sz w:val="24"/>
          <w:szCs w:val="24"/>
        </w:rPr>
        <w:t xml:space="preserve">, flips and is estimated to positive. </w:t>
      </w:r>
      <w:r w:rsidR="001005E5">
        <w:rPr>
          <w:rFonts w:ascii="Times New Roman" w:eastAsia="Times New Roman" w:hAnsi="Times New Roman" w:cs="Times New Roman"/>
          <w:bCs/>
          <w:color w:val="000000"/>
          <w:sz w:val="24"/>
          <w:szCs w:val="24"/>
        </w:rPr>
        <w:t>Does this mean Bitcoin futures become more stable in a VIX turmoil?</w:t>
      </w:r>
    </w:p>
    <w:p w:rsidR="00BD6472" w:rsidRDefault="001005E5"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 xml:space="preserve">As </w:t>
      </w:r>
      <w:proofErr w:type="spellStart"/>
      <w:r w:rsidRPr="00F3096E">
        <w:rPr>
          <w:rFonts w:ascii="Times New Roman" w:eastAsia="Times New Roman" w:hAnsi="Times New Roman" w:cs="Times New Roman"/>
          <w:bCs/>
          <w:color w:val="000000"/>
          <w:sz w:val="24"/>
          <w:szCs w:val="24"/>
        </w:rPr>
        <w:t>Kristoufek</w:t>
      </w:r>
      <w:proofErr w:type="spellEnd"/>
      <w:r w:rsidRPr="00F3096E">
        <w:rPr>
          <w:rFonts w:ascii="Times New Roman" w:eastAsia="Times New Roman" w:hAnsi="Times New Roman" w:cs="Times New Roman"/>
          <w:bCs/>
          <w:color w:val="000000"/>
          <w:sz w:val="24"/>
          <w:szCs w:val="24"/>
        </w:rPr>
        <w:t xml:space="preserve"> (2013)</w:t>
      </w:r>
      <w:r>
        <w:rPr>
          <w:rFonts w:ascii="Times New Roman" w:eastAsia="Times New Roman" w:hAnsi="Times New Roman" w:cs="Times New Roman"/>
          <w:bCs/>
          <w:color w:val="000000"/>
          <w:sz w:val="24"/>
          <w:szCs w:val="24"/>
        </w:rPr>
        <w:t xml:space="preserve"> and </w:t>
      </w:r>
      <w:r w:rsidRPr="001005E5">
        <w:rPr>
          <w:rFonts w:ascii="Times New Roman" w:eastAsia="Times New Roman" w:hAnsi="Times New Roman" w:cs="Times New Roman"/>
          <w:bCs/>
          <w:color w:val="000000"/>
          <w:sz w:val="24"/>
          <w:szCs w:val="24"/>
        </w:rPr>
        <w:t>Yermack (2013)</w:t>
      </w:r>
      <w:r>
        <w:rPr>
          <w:rFonts w:ascii="Times New Roman" w:eastAsia="Times New Roman" w:hAnsi="Times New Roman" w:cs="Times New Roman"/>
          <w:bCs/>
          <w:color w:val="000000"/>
          <w:sz w:val="24"/>
          <w:szCs w:val="24"/>
        </w:rPr>
        <w:t xml:space="preserve"> argue that Bitcoin is a speculative investment, could it be that the Bitcoin futures market merely had a conveniently timed bubble that coincided with large swing in the </w:t>
      </w:r>
      <w:r w:rsidR="00810FB7">
        <w:rPr>
          <w:rFonts w:ascii="Times New Roman" w:eastAsia="Times New Roman" w:hAnsi="Times New Roman" w:cs="Times New Roman"/>
          <w:bCs/>
          <w:color w:val="000000"/>
          <w:sz w:val="24"/>
          <w:szCs w:val="24"/>
        </w:rPr>
        <w:t>VIX</w:t>
      </w:r>
      <w:r>
        <w:rPr>
          <w:rFonts w:ascii="Times New Roman" w:eastAsia="Times New Roman" w:hAnsi="Times New Roman" w:cs="Times New Roman"/>
          <w:bCs/>
          <w:color w:val="000000"/>
          <w:sz w:val="24"/>
          <w:szCs w:val="24"/>
        </w:rPr>
        <w:t>? To test this hypothesis, I estimate model 4 which jointly estimate</w:t>
      </w:r>
      <w:r w:rsidR="000E0374">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the effect of the following variables on Bitcoin futures volatility: good and bad news volume; the VIX; and a proxy for a speculative investment, google trends data. Controlling for hype around </w:t>
      </w:r>
      <w:r w:rsidR="000E0374">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itcoin, I find that google trends data </w:t>
      </w:r>
      <w:r w:rsidR="000B02C7">
        <w:rPr>
          <w:rFonts w:ascii="Times New Roman" w:eastAsia="Times New Roman" w:hAnsi="Times New Roman" w:cs="Times New Roman"/>
          <w:bCs/>
          <w:color w:val="000000"/>
          <w:sz w:val="24"/>
          <w:szCs w:val="24"/>
        </w:rPr>
        <w:t>primarily explains the volatility of Bitcoin futures returns. This gives reason to believe that this is not a safe-haven asset and more akin to a speculative investment</w:t>
      </w:r>
      <w:r w:rsidR="000E0374">
        <w:rPr>
          <w:rFonts w:ascii="Times New Roman" w:eastAsia="Times New Roman" w:hAnsi="Times New Roman" w:cs="Times New Roman"/>
          <w:bCs/>
          <w:color w:val="000000"/>
          <w:sz w:val="24"/>
          <w:szCs w:val="24"/>
        </w:rPr>
        <w:t xml:space="preserve"> asset</w:t>
      </w:r>
      <w:r w:rsidR="000B02C7">
        <w:rPr>
          <w:rFonts w:ascii="Times New Roman" w:eastAsia="Times New Roman" w:hAnsi="Times New Roman" w:cs="Times New Roman"/>
          <w:bCs/>
          <w:color w:val="000000"/>
          <w:sz w:val="24"/>
          <w:szCs w:val="24"/>
        </w:rPr>
        <w:t>.</w:t>
      </w:r>
    </w:p>
    <w:p w:rsidR="00FB3918" w:rsidRDefault="00715058">
      <w:pPr>
        <w:numPr>
          <w:ilvl w:val="0"/>
          <w:numId w:val="4"/>
        </w:numPr>
        <w:spacing w:line="48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 and Further Research</w:t>
      </w:r>
    </w:p>
    <w:p w:rsidR="000B02C7" w:rsidRDefault="00715058" w:rsidP="000B02C7">
      <w:pPr>
        <w:spacing w:line="480" w:lineRule="auto"/>
        <w:ind w:firstLine="360"/>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 conclusion, there is some evidence to suggest that Bitcoin futures act as a safe-haven through their volatility relationship to the VIX. However, these results are not proven to be robust </w:t>
      </w:r>
      <w:r w:rsidR="000B02C7">
        <w:rPr>
          <w:rFonts w:ascii="Times New Roman" w:eastAsia="Times New Roman" w:hAnsi="Times New Roman" w:cs="Times New Roman"/>
          <w:bCs/>
          <w:color w:val="000000"/>
          <w:sz w:val="24"/>
          <w:szCs w:val="24"/>
        </w:rPr>
        <w:t>against the assertion that Bitcoin and the surrounding financial products are merely speculative investments</w:t>
      </w:r>
      <w:r>
        <w:rPr>
          <w:rFonts w:ascii="Times New Roman" w:eastAsia="Times New Roman" w:hAnsi="Times New Roman" w:cs="Times New Roman"/>
          <w:bCs/>
          <w:color w:val="000000"/>
          <w:sz w:val="24"/>
          <w:szCs w:val="24"/>
        </w:rPr>
        <w:t>. Further research should also consider how the relationship between well-known safe-haven assets to the VIX and how this compares to Bitcoin futures. In addition, a test should be conducted where Bitcoin futures are added to a portfolio of the S</w:t>
      </w:r>
      <w:r w:rsidR="00DE6453">
        <w:rPr>
          <w:rFonts w:ascii="Times New Roman" w:eastAsia="Times New Roman" w:hAnsi="Times New Roman" w:cs="Times New Roman"/>
          <w:bCs/>
          <w:color w:val="000000"/>
          <w:sz w:val="24"/>
          <w:szCs w:val="24"/>
        </w:rPr>
        <w:t>&amp;</w:t>
      </w:r>
      <w:r>
        <w:rPr>
          <w:rFonts w:ascii="Times New Roman" w:eastAsia="Times New Roman" w:hAnsi="Times New Roman" w:cs="Times New Roman"/>
          <w:bCs/>
          <w:color w:val="000000"/>
          <w:sz w:val="24"/>
          <w:szCs w:val="24"/>
        </w:rPr>
        <w:t>P 500 and benchmarked against well-known safe-haven assets.</w:t>
      </w:r>
    </w:p>
    <w:p w:rsidR="00FB3918" w:rsidRDefault="00715058" w:rsidP="000B02C7">
      <w:pPr>
        <w:spacing w:line="480" w:lineRule="auto"/>
        <w:ind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E6453" w:rsidRDefault="00DE6453" w:rsidP="000B02C7">
      <w:pPr>
        <w:spacing w:line="480" w:lineRule="auto"/>
        <w:ind w:firstLine="360"/>
        <w:textAlignment w:val="baseline"/>
        <w:rPr>
          <w:rFonts w:ascii="Times New Roman" w:eastAsia="Times New Roman" w:hAnsi="Times New Roman" w:cs="Times New Roman"/>
          <w:sz w:val="24"/>
          <w:szCs w:val="24"/>
        </w:rPr>
      </w:pPr>
    </w:p>
    <w:p w:rsidR="00DE6453" w:rsidRDefault="00DE6453" w:rsidP="000B02C7">
      <w:pPr>
        <w:spacing w:line="480" w:lineRule="auto"/>
        <w:ind w:firstLine="360"/>
        <w:textAlignment w:val="baseline"/>
        <w:rPr>
          <w:rFonts w:ascii="Times New Roman" w:eastAsia="Times New Roman" w:hAnsi="Times New Roman" w:cs="Times New Roman"/>
          <w:sz w:val="24"/>
          <w:szCs w:val="24"/>
        </w:rPr>
      </w:pPr>
    </w:p>
    <w:p w:rsidR="007C7949" w:rsidRDefault="007C7949" w:rsidP="000B02C7">
      <w:pPr>
        <w:spacing w:line="480" w:lineRule="auto"/>
        <w:ind w:firstLine="360"/>
        <w:textAlignment w:val="baseline"/>
        <w:rPr>
          <w:rFonts w:ascii="Times New Roman" w:eastAsia="Times New Roman" w:hAnsi="Times New Roman" w:cs="Times New Roman"/>
          <w:sz w:val="24"/>
          <w:szCs w:val="24"/>
        </w:rPr>
      </w:pPr>
    </w:p>
    <w:p w:rsidR="00FB3918" w:rsidRDefault="00B166C4">
      <w:pPr>
        <w:spacing w:line="240" w:lineRule="auto"/>
        <w:rPr>
          <w:rFonts w:ascii="Times New Roman" w:eastAsia="Times New Roman" w:hAnsi="Times New Roman" w:cs="Times New Roman"/>
          <w:b/>
          <w:bCs/>
          <w:color w:val="000000"/>
          <w:sz w:val="24"/>
          <w:szCs w:val="24"/>
        </w:rPr>
      </w:pPr>
      <w:bookmarkStart w:id="0" w:name="_GoBack"/>
      <w:bookmarkEnd w:id="0"/>
      <w:r>
        <w:rPr>
          <w:rFonts w:ascii="Times New Roman" w:eastAsia="Times New Roman" w:hAnsi="Times New Roman" w:cs="Times New Roman"/>
          <w:b/>
          <w:bCs/>
          <w:color w:val="000000"/>
          <w:sz w:val="24"/>
          <w:szCs w:val="24"/>
        </w:rPr>
        <w:lastRenderedPageBreak/>
        <w:t>References</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Baur</w:t>
      </w:r>
      <w:r w:rsidR="00177DC8">
        <w:rPr>
          <w:rFonts w:ascii="Times New Roman" w:eastAsia="Times New Roman" w:hAnsi="Times New Roman" w:cs="Times New Roman"/>
          <w:sz w:val="24"/>
          <w:szCs w:val="24"/>
        </w:rPr>
        <w:t xml:space="preserve">, </w:t>
      </w:r>
      <w:r w:rsidR="00AC537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Lucey</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(2009)</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Gold a Hedge or a Safe-haven? an Analysis of Stocks, </w:t>
      </w:r>
    </w:p>
    <w:p w:rsidR="00FB3918" w:rsidRPr="00177DC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Bonds and Gold</w:t>
      </w:r>
      <w:r w:rsidR="00177DC8">
        <w:rPr>
          <w:rFonts w:ascii="Times New Roman" w:eastAsia="Times New Roman" w:hAnsi="Times New Roman" w:cs="Times New Roman"/>
          <w:sz w:val="24"/>
          <w:szCs w:val="24"/>
        </w:rPr>
        <w:t xml:space="preserve">, </w:t>
      </w:r>
      <w:r w:rsidR="00177DC8" w:rsidRPr="00177DC8">
        <w:rPr>
          <w:rFonts w:ascii="Times New Roman" w:eastAsia="Times New Roman" w:hAnsi="Times New Roman" w:cs="Times New Roman"/>
          <w:i/>
          <w:sz w:val="24"/>
          <w:szCs w:val="24"/>
        </w:rPr>
        <w:t xml:space="preserve">The </w:t>
      </w:r>
      <w:r w:rsidR="00177DC8">
        <w:rPr>
          <w:rFonts w:ascii="Times New Roman" w:eastAsia="Times New Roman" w:hAnsi="Times New Roman" w:cs="Times New Roman"/>
          <w:i/>
          <w:sz w:val="24"/>
          <w:szCs w:val="24"/>
        </w:rPr>
        <w:t>F</w:t>
      </w:r>
      <w:r w:rsidR="00177DC8" w:rsidRPr="00177DC8">
        <w:rPr>
          <w:rFonts w:ascii="Times New Roman" w:eastAsia="Times New Roman" w:hAnsi="Times New Roman" w:cs="Times New Roman"/>
          <w:i/>
          <w:sz w:val="24"/>
          <w:szCs w:val="24"/>
        </w:rPr>
        <w:t>inancial Review</w:t>
      </w:r>
      <w:r w:rsidR="00177DC8">
        <w:rPr>
          <w:rFonts w:ascii="Times New Roman" w:eastAsia="Times New Roman" w:hAnsi="Times New Roman" w:cs="Times New Roman"/>
          <w:i/>
          <w:sz w:val="24"/>
          <w:szCs w:val="24"/>
        </w:rPr>
        <w:t xml:space="preserve"> </w:t>
      </w:r>
      <w:r w:rsidR="00177DC8">
        <w:rPr>
          <w:rFonts w:ascii="Times New Roman" w:eastAsia="Times New Roman" w:hAnsi="Times New Roman" w:cs="Times New Roman"/>
          <w:sz w:val="24"/>
          <w:szCs w:val="24"/>
        </w:rPr>
        <w:t>45,</w:t>
      </w:r>
      <w:r w:rsidR="00177DC8">
        <w:rPr>
          <w:rFonts w:ascii="Times New Roman" w:eastAsia="Times New Roman" w:hAnsi="Times New Roman" w:cs="Times New Roman"/>
          <w:i/>
          <w:sz w:val="24"/>
          <w:szCs w:val="24"/>
        </w:rPr>
        <w:t xml:space="preserve"> </w:t>
      </w:r>
      <w:r w:rsidR="00177DC8">
        <w:rPr>
          <w:rFonts w:ascii="Times New Roman" w:eastAsia="Times New Roman" w:hAnsi="Times New Roman" w:cs="Times New Roman"/>
          <w:sz w:val="24"/>
          <w:szCs w:val="24"/>
        </w:rPr>
        <w:t>217 – 229.</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Baur</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(2012)</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Asymmetric volatility in the gold market</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7DC8">
        <w:rPr>
          <w:rFonts w:ascii="Times New Roman" w:eastAsia="Times New Roman" w:hAnsi="Times New Roman" w:cs="Times New Roman"/>
          <w:i/>
          <w:sz w:val="24"/>
          <w:szCs w:val="24"/>
        </w:rPr>
        <w:t>Journal of Alternative Investments</w:t>
      </w:r>
    </w:p>
    <w:p w:rsidR="00FB3918" w:rsidRDefault="00715058" w:rsidP="00BA7B7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r w:rsidR="0017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26–38. </w:t>
      </w:r>
    </w:p>
    <w:p w:rsidR="00FB3918" w:rsidRPr="00177DC8" w:rsidRDefault="00715058" w:rsidP="00BA7B78">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Black, Fischer, (1976), Studies of stock price volatility changes, </w:t>
      </w:r>
      <w:r w:rsidRPr="00177DC8">
        <w:rPr>
          <w:rFonts w:ascii="Times New Roman" w:eastAsia="Times New Roman" w:hAnsi="Times New Roman" w:cs="Times New Roman"/>
          <w:i/>
          <w:sz w:val="24"/>
          <w:szCs w:val="24"/>
        </w:rPr>
        <w:t>Proceedings of the 1976</w:t>
      </w:r>
    </w:p>
    <w:p w:rsidR="00B25F32" w:rsidRDefault="00715058" w:rsidP="00BA7B78">
      <w:pPr>
        <w:spacing w:line="240" w:lineRule="auto"/>
        <w:ind w:firstLine="720"/>
        <w:rPr>
          <w:rFonts w:ascii="Times New Roman" w:eastAsia="Times New Roman" w:hAnsi="Times New Roman" w:cs="Times New Roman"/>
          <w:i/>
          <w:sz w:val="24"/>
          <w:szCs w:val="24"/>
        </w:rPr>
      </w:pPr>
      <w:r w:rsidRPr="00177DC8">
        <w:rPr>
          <w:rFonts w:ascii="Times New Roman" w:eastAsia="Times New Roman" w:hAnsi="Times New Roman" w:cs="Times New Roman"/>
          <w:i/>
          <w:sz w:val="24"/>
          <w:szCs w:val="24"/>
        </w:rPr>
        <w:t>Meetings of the, Business and Economics Statistics</w:t>
      </w:r>
      <w:r w:rsidR="00B25F32" w:rsidRPr="00B25F32">
        <w:rPr>
          <w:rFonts w:ascii="Times New Roman" w:eastAsia="Times New Roman" w:hAnsi="Times New Roman" w:cs="Times New Roman"/>
          <w:i/>
          <w:sz w:val="24"/>
          <w:szCs w:val="24"/>
        </w:rPr>
        <w:t xml:space="preserve"> </w:t>
      </w:r>
      <w:r w:rsidR="00B25F32" w:rsidRPr="00177DC8">
        <w:rPr>
          <w:rFonts w:ascii="Times New Roman" w:eastAsia="Times New Roman" w:hAnsi="Times New Roman" w:cs="Times New Roman"/>
          <w:i/>
          <w:sz w:val="24"/>
          <w:szCs w:val="24"/>
        </w:rPr>
        <w:t>Section</w:t>
      </w:r>
      <w:r w:rsidR="00B25F32">
        <w:rPr>
          <w:rFonts w:ascii="Times New Roman" w:eastAsia="Times New Roman" w:hAnsi="Times New Roman" w:cs="Times New Roman"/>
          <w:i/>
          <w:sz w:val="24"/>
          <w:szCs w:val="24"/>
        </w:rPr>
        <w:t>,</w:t>
      </w:r>
      <w:r w:rsidR="00B25F32" w:rsidRPr="00B25F32">
        <w:rPr>
          <w:rFonts w:ascii="Times New Roman" w:eastAsia="Times New Roman" w:hAnsi="Times New Roman" w:cs="Times New Roman"/>
          <w:i/>
          <w:sz w:val="24"/>
          <w:szCs w:val="24"/>
        </w:rPr>
        <w:t xml:space="preserve"> </w:t>
      </w:r>
      <w:r w:rsidR="00B25F32" w:rsidRPr="00177DC8">
        <w:rPr>
          <w:rFonts w:ascii="Times New Roman" w:eastAsia="Times New Roman" w:hAnsi="Times New Roman" w:cs="Times New Roman"/>
          <w:i/>
          <w:sz w:val="24"/>
          <w:szCs w:val="24"/>
        </w:rPr>
        <w:t>American Statistical</w:t>
      </w:r>
    </w:p>
    <w:p w:rsidR="00FB3918" w:rsidRDefault="00B25F32" w:rsidP="00BA7B78">
      <w:pPr>
        <w:spacing w:line="240" w:lineRule="auto"/>
        <w:ind w:firstLine="720"/>
        <w:rPr>
          <w:rFonts w:ascii="Times New Roman" w:eastAsia="Times New Roman" w:hAnsi="Times New Roman" w:cs="Times New Roman"/>
          <w:sz w:val="24"/>
          <w:szCs w:val="24"/>
        </w:rPr>
      </w:pPr>
      <w:r w:rsidRPr="00177DC8">
        <w:rPr>
          <w:rFonts w:ascii="Times New Roman" w:eastAsia="Times New Roman" w:hAnsi="Times New Roman" w:cs="Times New Roman"/>
          <w:i/>
          <w:sz w:val="24"/>
          <w:szCs w:val="24"/>
        </w:rPr>
        <w:t>Association</w:t>
      </w:r>
      <w:r>
        <w:rPr>
          <w:rFonts w:ascii="Times New Roman" w:eastAsia="Times New Roman" w:hAnsi="Times New Roman" w:cs="Times New Roman"/>
          <w:i/>
          <w:sz w:val="24"/>
          <w:szCs w:val="24"/>
        </w:rPr>
        <w:t xml:space="preserve">, </w:t>
      </w:r>
      <w:r w:rsidR="00715058">
        <w:rPr>
          <w:rFonts w:ascii="Times New Roman" w:eastAsia="Times New Roman" w:hAnsi="Times New Roman" w:cs="Times New Roman"/>
          <w:sz w:val="24"/>
          <w:szCs w:val="24"/>
        </w:rPr>
        <w:t>177-181.</w:t>
      </w:r>
    </w:p>
    <w:p w:rsidR="00177DC8" w:rsidRDefault="00715058" w:rsidP="00177DC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Bouri</w:t>
      </w:r>
      <w:proofErr w:type="spellEnd"/>
      <w:r w:rsidR="00177DC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Azzi</w:t>
      </w:r>
      <w:proofErr w:type="spellEnd"/>
      <w:r>
        <w:rPr>
          <w:rFonts w:ascii="Times New Roman" w:eastAsia="Times New Roman" w:hAnsi="Times New Roman" w:cs="Times New Roman"/>
          <w:color w:val="000000"/>
          <w:sz w:val="24"/>
          <w:szCs w:val="24"/>
        </w:rPr>
        <w:t xml:space="preserve">, </w:t>
      </w:r>
      <w:r w:rsidR="00177DC8">
        <w:rPr>
          <w:rFonts w:ascii="Times New Roman" w:eastAsia="Times New Roman" w:hAnsi="Times New Roman" w:cs="Times New Roman"/>
          <w:color w:val="000000"/>
          <w:sz w:val="24"/>
          <w:szCs w:val="24"/>
        </w:rPr>
        <w:t xml:space="preserve">and </w:t>
      </w:r>
      <w:proofErr w:type="spellStart"/>
      <w:proofErr w:type="gramStart"/>
      <w:r w:rsidR="00177DC8">
        <w:rPr>
          <w:rFonts w:ascii="Times New Roman" w:eastAsia="Times New Roman" w:hAnsi="Times New Roman" w:cs="Times New Roman"/>
          <w:color w:val="000000"/>
          <w:sz w:val="24"/>
          <w:szCs w:val="24"/>
        </w:rPr>
        <w:t>Dyhrberg</w:t>
      </w:r>
      <w:proofErr w:type="spellEnd"/>
      <w:r w:rsidR="00177DC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2016)</w:t>
      </w:r>
      <w:r w:rsidR="00177DC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On the Return-Volatility Relationship in the Bitcoin Market</w:t>
      </w:r>
    </w:p>
    <w:p w:rsidR="00FB3918" w:rsidRDefault="00715058" w:rsidP="00177DC8">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around</w:t>
      </w:r>
      <w:r w:rsidR="00177DC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Price Crash of 2013</w:t>
      </w:r>
      <w:r w:rsidR="00177DC8">
        <w:rPr>
          <w:rFonts w:ascii="Times New Roman" w:eastAsia="Times New Roman" w:hAnsi="Times New Roman" w:cs="Times New Roman"/>
          <w:color w:val="000000"/>
          <w:sz w:val="24"/>
          <w:szCs w:val="24"/>
        </w:rPr>
        <w:t xml:space="preserve">, </w:t>
      </w:r>
      <w:r w:rsidR="00177DC8">
        <w:rPr>
          <w:rFonts w:ascii="Times New Roman" w:eastAsia="Times New Roman" w:hAnsi="Times New Roman" w:cs="Times New Roman"/>
          <w:i/>
          <w:color w:val="000000"/>
          <w:sz w:val="24"/>
          <w:szCs w:val="24"/>
        </w:rPr>
        <w:t xml:space="preserve">Economics, </w:t>
      </w:r>
      <w:r w:rsidR="00177DC8">
        <w:rPr>
          <w:rFonts w:ascii="Times New Roman" w:eastAsia="Times New Roman" w:hAnsi="Times New Roman" w:cs="Times New Roman"/>
          <w:color w:val="000000"/>
          <w:sz w:val="24"/>
          <w:szCs w:val="24"/>
        </w:rPr>
        <w:t>11(2), 1- 17</w:t>
      </w:r>
      <w:r w:rsidR="00B25F32">
        <w:rPr>
          <w:rFonts w:ascii="Times New Roman" w:eastAsia="Times New Roman" w:hAnsi="Times New Roman" w:cs="Times New Roman"/>
          <w:color w:val="000000"/>
          <w:sz w:val="24"/>
          <w:szCs w:val="24"/>
        </w:rPr>
        <w:t>.</w:t>
      </w:r>
    </w:p>
    <w:p w:rsidR="00BA7B78" w:rsidRDefault="00084309" w:rsidP="00BA7B78">
      <w:pPr>
        <w:spacing w:line="240" w:lineRule="auto"/>
        <w:rPr>
          <w:rFonts w:ascii="Times New Roman" w:eastAsia="Times New Roman" w:hAnsi="Times New Roman" w:cs="Times New Roman"/>
          <w:sz w:val="24"/>
          <w:szCs w:val="24"/>
        </w:rPr>
      </w:pPr>
      <w:proofErr w:type="spellStart"/>
      <w:r w:rsidRPr="00084309">
        <w:rPr>
          <w:rFonts w:ascii="Times New Roman" w:eastAsia="Times New Roman" w:hAnsi="Times New Roman" w:cs="Times New Roman"/>
          <w:sz w:val="24"/>
          <w:szCs w:val="24"/>
        </w:rPr>
        <w:t>Depken</w:t>
      </w:r>
      <w:proofErr w:type="spellEnd"/>
      <w:r w:rsidR="00821493">
        <w:rPr>
          <w:rFonts w:ascii="Times New Roman" w:eastAsia="Times New Roman" w:hAnsi="Times New Roman" w:cs="Times New Roman"/>
          <w:sz w:val="24"/>
          <w:szCs w:val="24"/>
        </w:rPr>
        <w:t xml:space="preserve">, </w:t>
      </w:r>
      <w:r w:rsidRPr="00084309">
        <w:rPr>
          <w:rFonts w:ascii="Times New Roman" w:eastAsia="Times New Roman" w:hAnsi="Times New Roman" w:cs="Times New Roman"/>
          <w:sz w:val="24"/>
          <w:szCs w:val="24"/>
        </w:rPr>
        <w:t>(</w:t>
      </w:r>
      <w:r w:rsidR="00821493" w:rsidRPr="00821493">
        <w:rPr>
          <w:rFonts w:ascii="Times New Roman" w:eastAsia="Times New Roman" w:hAnsi="Times New Roman" w:cs="Times New Roman"/>
          <w:sz w:val="24"/>
          <w:szCs w:val="24"/>
        </w:rPr>
        <w:t>2001</w:t>
      </w:r>
      <w:r w:rsidRPr="00084309">
        <w:rPr>
          <w:rFonts w:ascii="Times New Roman" w:eastAsia="Times New Roman" w:hAnsi="Times New Roman" w:cs="Times New Roman"/>
          <w:sz w:val="24"/>
          <w:szCs w:val="24"/>
        </w:rPr>
        <w:t>)</w:t>
      </w:r>
      <w:r w:rsidR="00821493">
        <w:rPr>
          <w:rFonts w:ascii="Times New Roman" w:eastAsia="Times New Roman" w:hAnsi="Times New Roman" w:cs="Times New Roman"/>
          <w:sz w:val="24"/>
          <w:szCs w:val="24"/>
        </w:rPr>
        <w:t xml:space="preserve">, </w:t>
      </w:r>
      <w:r w:rsidRPr="00084309">
        <w:rPr>
          <w:rFonts w:ascii="Times New Roman" w:eastAsia="Times New Roman" w:hAnsi="Times New Roman" w:cs="Times New Roman"/>
          <w:sz w:val="24"/>
          <w:szCs w:val="24"/>
        </w:rPr>
        <w:t>Good news, bad news and GARCH effects in stock return data</w:t>
      </w:r>
      <w:r w:rsidR="00821493">
        <w:rPr>
          <w:rFonts w:ascii="Times New Roman" w:eastAsia="Times New Roman" w:hAnsi="Times New Roman" w:cs="Times New Roman"/>
          <w:sz w:val="24"/>
          <w:szCs w:val="24"/>
        </w:rPr>
        <w:t>,</w:t>
      </w:r>
      <w:r w:rsidRPr="00084309">
        <w:rPr>
          <w:rFonts w:ascii="Times New Roman" w:eastAsia="Times New Roman" w:hAnsi="Times New Roman" w:cs="Times New Roman"/>
          <w:sz w:val="24"/>
          <w:szCs w:val="24"/>
        </w:rPr>
        <w:t xml:space="preserve"> </w:t>
      </w:r>
      <w:r w:rsidRPr="00821493">
        <w:rPr>
          <w:rFonts w:ascii="Times New Roman" w:eastAsia="Times New Roman" w:hAnsi="Times New Roman" w:cs="Times New Roman"/>
          <w:i/>
          <w:sz w:val="24"/>
          <w:szCs w:val="24"/>
        </w:rPr>
        <w:t>Journal of</w:t>
      </w:r>
      <w:r w:rsidRPr="00084309">
        <w:rPr>
          <w:rFonts w:ascii="Times New Roman" w:eastAsia="Times New Roman" w:hAnsi="Times New Roman" w:cs="Times New Roman"/>
          <w:sz w:val="24"/>
          <w:szCs w:val="24"/>
        </w:rPr>
        <w:t xml:space="preserve"> </w:t>
      </w:r>
    </w:p>
    <w:p w:rsidR="00FB3918" w:rsidRDefault="00084309" w:rsidP="00821493">
      <w:pPr>
        <w:spacing w:line="240" w:lineRule="auto"/>
        <w:ind w:left="720"/>
        <w:rPr>
          <w:rFonts w:ascii="Times New Roman" w:eastAsia="Times New Roman" w:hAnsi="Times New Roman" w:cs="Times New Roman"/>
          <w:sz w:val="24"/>
          <w:szCs w:val="24"/>
        </w:rPr>
      </w:pPr>
      <w:r w:rsidRPr="00821493">
        <w:rPr>
          <w:rFonts w:ascii="Times New Roman" w:eastAsia="Times New Roman" w:hAnsi="Times New Roman" w:cs="Times New Roman"/>
          <w:i/>
          <w:sz w:val="24"/>
          <w:szCs w:val="24"/>
        </w:rPr>
        <w:t>Applied Economics</w:t>
      </w:r>
      <w:r w:rsidRPr="00084309">
        <w:rPr>
          <w:rFonts w:ascii="Times New Roman" w:eastAsia="Times New Roman" w:hAnsi="Times New Roman" w:cs="Times New Roman"/>
          <w:sz w:val="24"/>
          <w:szCs w:val="24"/>
        </w:rPr>
        <w:t xml:space="preserve">, </w:t>
      </w:r>
      <w:proofErr w:type="gramStart"/>
      <w:r w:rsidR="0024596A">
        <w:rPr>
          <w:rFonts w:ascii="Times New Roman" w:eastAsia="Times New Roman" w:hAnsi="Times New Roman" w:cs="Times New Roman"/>
          <w:sz w:val="24"/>
          <w:szCs w:val="24"/>
        </w:rPr>
        <w:t>IV</w:t>
      </w:r>
      <w:r w:rsidRPr="00084309">
        <w:rPr>
          <w:rFonts w:ascii="Times New Roman" w:eastAsia="Times New Roman" w:hAnsi="Times New Roman" w:cs="Times New Roman"/>
          <w:sz w:val="24"/>
          <w:szCs w:val="24"/>
        </w:rPr>
        <w:t>(</w:t>
      </w:r>
      <w:proofErr w:type="gramEnd"/>
      <w:r w:rsidRPr="00084309">
        <w:rPr>
          <w:rFonts w:ascii="Times New Roman" w:eastAsia="Times New Roman" w:hAnsi="Times New Roman" w:cs="Times New Roman"/>
          <w:sz w:val="24"/>
          <w:szCs w:val="24"/>
        </w:rPr>
        <w:t>2), 313–327</w:t>
      </w:r>
      <w:r w:rsidR="00B25F32">
        <w:rPr>
          <w:rFonts w:ascii="Times New Roman" w:eastAsia="Times New Roman" w:hAnsi="Times New Roman" w:cs="Times New Roman"/>
          <w:sz w:val="24"/>
          <w:szCs w:val="24"/>
        </w:rPr>
        <w:t>.</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de-DE"/>
        </w:rPr>
        <w:t xml:space="preserve">Foley, Karlsen, </w:t>
      </w:r>
      <w:r w:rsidR="00AC537A">
        <w:rPr>
          <w:rFonts w:ascii="Times New Roman" w:eastAsia="Times New Roman" w:hAnsi="Times New Roman" w:cs="Times New Roman"/>
          <w:color w:val="000000"/>
          <w:sz w:val="24"/>
          <w:szCs w:val="24"/>
          <w:lang w:val="de-DE"/>
        </w:rPr>
        <w:t>and</w:t>
      </w:r>
      <w:r>
        <w:rPr>
          <w:rFonts w:ascii="Times New Roman" w:eastAsia="Times New Roman" w:hAnsi="Times New Roman" w:cs="Times New Roman"/>
          <w:color w:val="000000"/>
          <w:sz w:val="24"/>
          <w:szCs w:val="24"/>
          <w:lang w:val="de-DE"/>
        </w:rPr>
        <w:t xml:space="preserve"> Putniii</w:t>
      </w:r>
      <w:r w:rsidR="00AD64D0">
        <w:rPr>
          <w:rFonts w:ascii="Times New Roman" w:eastAsia="Times New Roman" w:hAnsi="Times New Roman" w:cs="Times New Roman"/>
          <w:color w:val="000000"/>
          <w:sz w:val="24"/>
          <w:szCs w:val="24"/>
          <w:lang w:val="de-DE"/>
        </w:rPr>
        <w:t>,</w:t>
      </w:r>
      <w:r>
        <w:rPr>
          <w:rFonts w:ascii="Times New Roman" w:eastAsia="Times New Roman" w:hAnsi="Times New Roman" w:cs="Times New Roman"/>
          <w:color w:val="000000"/>
          <w:sz w:val="24"/>
          <w:szCs w:val="24"/>
          <w:lang w:val="de-DE"/>
        </w:rPr>
        <w:t xml:space="preserve"> (2018)</w:t>
      </w:r>
      <w:r w:rsidR="00AD64D0">
        <w:rPr>
          <w:rFonts w:ascii="Times New Roman" w:eastAsia="Times New Roman" w:hAnsi="Times New Roman" w:cs="Times New Roman"/>
          <w:color w:val="000000"/>
          <w:sz w:val="24"/>
          <w:szCs w:val="24"/>
          <w:lang w:val="de-DE"/>
        </w:rPr>
        <w:t>,</w:t>
      </w:r>
      <w:r>
        <w:rPr>
          <w:rFonts w:ascii="Times New Roman" w:eastAsia="Times New Roman" w:hAnsi="Times New Roman" w:cs="Times New Roman"/>
          <w:color w:val="000000"/>
          <w:sz w:val="24"/>
          <w:szCs w:val="24"/>
          <w:lang w:val="de-DE"/>
        </w:rPr>
        <w:t xml:space="preserve"> </w:t>
      </w:r>
      <w:r>
        <w:rPr>
          <w:rFonts w:ascii="Times New Roman" w:eastAsia="Times New Roman" w:hAnsi="Times New Roman" w:cs="Times New Roman"/>
          <w:color w:val="000000"/>
          <w:sz w:val="24"/>
          <w:szCs w:val="24"/>
        </w:rPr>
        <w:t>Sex, Drugs, and Bitcoin: How Much Illegal</w:t>
      </w:r>
    </w:p>
    <w:p w:rsidR="001E0341" w:rsidRDefault="00715058" w:rsidP="001E0341">
      <w:pPr>
        <w:spacing w:line="240" w:lineRule="auto"/>
        <w:ind w:left="720"/>
      </w:pPr>
      <w:r>
        <w:rPr>
          <w:rFonts w:ascii="Times New Roman" w:eastAsia="Times New Roman" w:hAnsi="Times New Roman" w:cs="Times New Roman"/>
          <w:color w:val="000000"/>
          <w:sz w:val="24"/>
          <w:szCs w:val="24"/>
        </w:rPr>
        <w:t xml:space="preserve">Activity Is Financed Through Cryptocurrencies? </w:t>
      </w:r>
      <w:r w:rsidR="00BF2E09">
        <w:rPr>
          <w:rFonts w:ascii="Times New Roman" w:eastAsia="Times New Roman" w:hAnsi="Times New Roman" w:cs="Times New Roman"/>
          <w:i/>
          <w:color w:val="000000"/>
          <w:sz w:val="24"/>
          <w:szCs w:val="24"/>
        </w:rPr>
        <w:t>SSRN Electric Journal,</w:t>
      </w:r>
      <w:r w:rsidR="001E0341">
        <w:t xml:space="preserve"> </w:t>
      </w:r>
    </w:p>
    <w:p w:rsidR="001E0341" w:rsidRPr="001E0341" w:rsidRDefault="001E0341" w:rsidP="001E0341">
      <w:pPr>
        <w:spacing w:line="240" w:lineRule="auto"/>
        <w:ind w:left="720"/>
        <w:rPr>
          <w:rFonts w:ascii="Times New Roman" w:eastAsia="Times New Roman" w:hAnsi="Times New Roman" w:cs="Times New Roman"/>
          <w:color w:val="000000"/>
          <w:sz w:val="24"/>
          <w:szCs w:val="24"/>
        </w:rPr>
      </w:pPr>
      <w:r w:rsidRPr="001E0341">
        <w:rPr>
          <w:rFonts w:ascii="Times New Roman" w:eastAsia="Times New Roman" w:hAnsi="Times New Roman" w:cs="Times New Roman"/>
          <w:color w:val="000000"/>
          <w:sz w:val="24"/>
          <w:szCs w:val="24"/>
        </w:rPr>
        <w:t>https://ssrn.com/abstract=3102645</w:t>
      </w:r>
      <w:r w:rsidR="00B25F32">
        <w:rPr>
          <w:rFonts w:ascii="Times New Roman" w:eastAsia="Times New Roman" w:hAnsi="Times New Roman" w:cs="Times New Roman"/>
          <w:color w:val="000000"/>
          <w:sz w:val="24"/>
          <w:szCs w:val="24"/>
        </w:rPr>
        <w:t>.</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Hentschel</w:t>
      </w:r>
      <w:proofErr w:type="spellEnd"/>
      <w:r>
        <w:rPr>
          <w:rFonts w:ascii="Times New Roman" w:eastAsia="Times New Roman" w:hAnsi="Times New Roman" w:cs="Times New Roman"/>
          <w:color w:val="000000"/>
          <w:sz w:val="24"/>
          <w:szCs w:val="24"/>
        </w:rPr>
        <w:t xml:space="preserve">, </w:t>
      </w:r>
      <w:r w:rsidR="00AC537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Campbell, (1992)</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News is Good News: An Asymmetric Model of </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Changing Volatility in Stock Returns, </w:t>
      </w:r>
      <w:r w:rsidR="001E0341">
        <w:rPr>
          <w:rFonts w:ascii="Times New Roman" w:eastAsia="Times New Roman" w:hAnsi="Times New Roman" w:cs="Times New Roman"/>
          <w:i/>
          <w:color w:val="000000"/>
          <w:sz w:val="24"/>
          <w:szCs w:val="24"/>
        </w:rPr>
        <w:t xml:space="preserve">Journal </w:t>
      </w:r>
      <w:proofErr w:type="gramStart"/>
      <w:r w:rsidR="001E0341">
        <w:rPr>
          <w:rFonts w:ascii="Times New Roman" w:eastAsia="Times New Roman" w:hAnsi="Times New Roman" w:cs="Times New Roman"/>
          <w:i/>
          <w:color w:val="000000"/>
          <w:sz w:val="24"/>
          <w:szCs w:val="24"/>
        </w:rPr>
        <w:t>Of</w:t>
      </w:r>
      <w:proofErr w:type="gramEnd"/>
      <w:r w:rsidR="001E0341">
        <w:rPr>
          <w:rFonts w:ascii="Times New Roman" w:eastAsia="Times New Roman" w:hAnsi="Times New Roman" w:cs="Times New Roman"/>
          <w:i/>
          <w:color w:val="000000"/>
          <w:sz w:val="24"/>
          <w:szCs w:val="24"/>
        </w:rPr>
        <w:t xml:space="preserve"> Financial Economics, </w:t>
      </w:r>
      <w:r>
        <w:rPr>
          <w:rFonts w:ascii="Times New Roman" w:eastAsia="Times New Roman" w:hAnsi="Times New Roman" w:cs="Times New Roman"/>
          <w:color w:val="000000"/>
          <w:sz w:val="24"/>
          <w:szCs w:val="24"/>
        </w:rPr>
        <w:t>31(3)</w:t>
      </w:r>
      <w:r w:rsidR="001E0341">
        <w:rPr>
          <w:rFonts w:ascii="Times New Roman" w:eastAsia="Times New Roman" w:hAnsi="Times New Roman" w:cs="Times New Roman"/>
          <w:color w:val="000000"/>
          <w:sz w:val="24"/>
          <w:szCs w:val="24"/>
        </w:rPr>
        <w:t>, 281-318</w:t>
      </w:r>
      <w:r w:rsidR="00B25F32">
        <w:rPr>
          <w:rFonts w:ascii="Times New Roman" w:eastAsia="Times New Roman" w:hAnsi="Times New Roman" w:cs="Times New Roman"/>
          <w:color w:val="000000"/>
          <w:sz w:val="24"/>
          <w:szCs w:val="24"/>
        </w:rPr>
        <w:t>.</w:t>
      </w:r>
    </w:p>
    <w:p w:rsidR="00FB3918" w:rsidRDefault="00715058" w:rsidP="00BA7B7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Bitcoin mining works." CoinDesk. January 31, 2018. Accessed March 11, 2018.</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https://www.coindesk.com/information/how-Bitcoin-mining-works/.</w:t>
      </w:r>
    </w:p>
    <w:p w:rsidR="00FB3918" w:rsidRDefault="00715058" w:rsidP="00BA7B78">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Kristoufek</w:t>
      </w:r>
      <w:proofErr w:type="spellEnd"/>
      <w:r w:rsidR="00B25F3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(2013)</w:t>
      </w:r>
      <w:r w:rsidR="00B25F3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Bitcoin meets Google Trends and Wikipedia: Quantifying the relationship</w:t>
      </w:r>
    </w:p>
    <w:p w:rsidR="00BA7B78" w:rsidRDefault="00715058" w:rsidP="00BA7B78">
      <w:pP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between phenomena of the Internet era</w:t>
      </w:r>
      <w:r w:rsidR="00B25F3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25F32">
        <w:rPr>
          <w:rFonts w:ascii="Times New Roman" w:eastAsia="Times New Roman" w:hAnsi="Times New Roman" w:cs="Times New Roman"/>
          <w:i/>
          <w:color w:val="000000"/>
          <w:sz w:val="24"/>
          <w:szCs w:val="24"/>
        </w:rPr>
        <w:t>Scientific Reports</w:t>
      </w:r>
      <w:r>
        <w:rPr>
          <w:rFonts w:ascii="Times New Roman" w:eastAsia="Times New Roman" w:hAnsi="Times New Roman" w:cs="Times New Roman"/>
          <w:color w:val="000000"/>
          <w:sz w:val="24"/>
          <w:szCs w:val="24"/>
        </w:rPr>
        <w:t>, 3,</w:t>
      </w:r>
    </w:p>
    <w:p w:rsidR="00FB3918" w:rsidRDefault="00B25F32" w:rsidP="00BA7B78">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w:t>
      </w:r>
      <w:r w:rsidR="00715058">
        <w:rPr>
          <w:rFonts w:ascii="Times New Roman" w:eastAsia="Times New Roman" w:hAnsi="Times New Roman" w:cs="Times New Roman"/>
          <w:color w:val="000000"/>
          <w:sz w:val="24"/>
          <w:szCs w:val="24"/>
        </w:rPr>
        <w:t>ttp://www.nature.com/articles/srep03415</w:t>
      </w:r>
    </w:p>
    <w:p w:rsidR="00BA7B78" w:rsidRDefault="00715058" w:rsidP="00BA7B7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Glosten</w:t>
      </w:r>
      <w:proofErr w:type="spellEnd"/>
      <w:r w:rsidR="00B25F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Jagannathan, </w:t>
      </w:r>
      <w:r w:rsidR="00AC537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Runkle, (1993)</w:t>
      </w:r>
      <w:r w:rsidR="00B25F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the Relation between the Expected Valu</w:t>
      </w:r>
      <w:r w:rsidR="00BA7B78">
        <w:rPr>
          <w:rFonts w:ascii="Times New Roman" w:eastAsia="Times New Roman" w:hAnsi="Times New Roman" w:cs="Times New Roman"/>
          <w:sz w:val="24"/>
          <w:szCs w:val="24"/>
        </w:rPr>
        <w:t>e</w:t>
      </w:r>
    </w:p>
    <w:p w:rsidR="00BA7B78" w:rsidRDefault="00715058" w:rsidP="00BA7B78">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the Volatility of the Nominal Excess Return on Stocks</w:t>
      </w:r>
      <w:r w:rsidR="00B25F32">
        <w:rPr>
          <w:rFonts w:ascii="Times New Roman" w:eastAsia="Times New Roman" w:hAnsi="Times New Roman" w:cs="Times New Roman"/>
          <w:sz w:val="24"/>
          <w:szCs w:val="24"/>
        </w:rPr>
        <w:t xml:space="preserve">, </w:t>
      </w:r>
      <w:r w:rsidRPr="00B25F32">
        <w:rPr>
          <w:rFonts w:ascii="Times New Roman" w:eastAsia="Times New Roman" w:hAnsi="Times New Roman" w:cs="Times New Roman"/>
          <w:i/>
          <w:sz w:val="24"/>
          <w:szCs w:val="24"/>
        </w:rPr>
        <w:t>The Journal of Finance</w:t>
      </w:r>
      <w:r>
        <w:rPr>
          <w:rFonts w:ascii="Times New Roman" w:eastAsia="Times New Roman" w:hAnsi="Times New Roman" w:cs="Times New Roman"/>
          <w:sz w:val="24"/>
          <w:szCs w:val="24"/>
        </w:rPr>
        <w:t xml:space="preserve">, </w:t>
      </w:r>
    </w:p>
    <w:p w:rsidR="00FB3918" w:rsidRDefault="00715058" w:rsidP="00BA7B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48(5), 1779-1801.</w:t>
      </w:r>
    </w:p>
    <w:p w:rsidR="00FB3918" w:rsidRDefault="00FB3918" w:rsidP="00BA7B78">
      <w:pPr>
        <w:spacing w:after="0" w:line="240" w:lineRule="auto"/>
        <w:rPr>
          <w:rFonts w:ascii="Times New Roman" w:eastAsia="Times New Roman" w:hAnsi="Times New Roman" w:cs="Times New Roman"/>
          <w:sz w:val="24"/>
          <w:szCs w:val="24"/>
        </w:rPr>
      </w:pP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Moore, </w:t>
      </w:r>
      <w:r w:rsidR="00AC537A">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Christin, (2013)</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Beware the Middleman: Empirical Analysis of Bitcoin-</w:t>
      </w:r>
    </w:p>
    <w:p w:rsidR="00FB3918" w:rsidRPr="00AD64D0" w:rsidRDefault="00715058" w:rsidP="00BA7B78">
      <w:pPr>
        <w:spacing w:line="240" w:lineRule="auto"/>
        <w:ind w:firstLine="72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Exchange Risk</w:t>
      </w:r>
      <w:r w:rsidR="00AD64D0">
        <w:rPr>
          <w:rFonts w:ascii="Times New Roman" w:eastAsia="Times New Roman" w:hAnsi="Times New Roman" w:cs="Times New Roman"/>
          <w:color w:val="000000"/>
          <w:sz w:val="24"/>
          <w:szCs w:val="24"/>
        </w:rPr>
        <w:t xml:space="preserve">, </w:t>
      </w:r>
      <w:r w:rsidRPr="00AD64D0">
        <w:rPr>
          <w:rFonts w:ascii="Times New Roman" w:eastAsia="Times New Roman" w:hAnsi="Times New Roman" w:cs="Times New Roman"/>
          <w:i/>
          <w:color w:val="000000"/>
          <w:sz w:val="24"/>
          <w:szCs w:val="24"/>
        </w:rPr>
        <w:t>Financial Cryptography and Data Security</w:t>
      </w:r>
      <w:r w:rsidR="001568F2">
        <w:rPr>
          <w:rFonts w:ascii="Times New Roman" w:eastAsia="Times New Roman" w:hAnsi="Times New Roman" w:cs="Times New Roman"/>
          <w:i/>
          <w:color w:val="000000"/>
          <w:sz w:val="24"/>
          <w:szCs w:val="24"/>
        </w:rPr>
        <w:t>,</w:t>
      </w:r>
      <w:r w:rsidRPr="00AD64D0">
        <w:rPr>
          <w:rFonts w:ascii="Times New Roman" w:eastAsia="Times New Roman" w:hAnsi="Times New Roman" w:cs="Times New Roman"/>
          <w:i/>
          <w:color w:val="000000"/>
          <w:sz w:val="24"/>
          <w:szCs w:val="24"/>
        </w:rPr>
        <w:t xml:space="preserve"> Lecture Notes in Computer </w:t>
      </w:r>
    </w:p>
    <w:p w:rsidR="00FB3918" w:rsidRPr="00BA7B78" w:rsidRDefault="00715058" w:rsidP="00BA7B78">
      <w:pPr>
        <w:spacing w:line="240" w:lineRule="auto"/>
        <w:ind w:firstLine="720"/>
        <w:rPr>
          <w:rFonts w:ascii="Times New Roman" w:eastAsia="Times New Roman" w:hAnsi="Times New Roman" w:cs="Times New Roman"/>
          <w:color w:val="000000"/>
          <w:sz w:val="24"/>
          <w:szCs w:val="24"/>
        </w:rPr>
      </w:pPr>
      <w:r w:rsidRPr="00AD64D0">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25-35. </w:t>
      </w:r>
    </w:p>
    <w:p w:rsidR="00FB3918" w:rsidRDefault="00715058" w:rsidP="00BA7B78">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Nakamoto,</w:t>
      </w:r>
      <w:r w:rsidR="00AD64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(2008)</w:t>
      </w:r>
      <w:r w:rsidR="001568F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Bitcoin: A peer-to-peer electronic cash system, Unpublished manuscript.</w:t>
      </w:r>
    </w:p>
    <w:p w:rsidR="001568F2" w:rsidRDefault="001568F2" w:rsidP="00BA7B78">
      <w:pPr>
        <w:spacing w:line="240" w:lineRule="auto"/>
        <w:rPr>
          <w:rFonts w:ascii="Times New Roman" w:eastAsia="Times New Roman" w:hAnsi="Times New Roman" w:cs="Times New Roman"/>
          <w:color w:val="000000"/>
          <w:sz w:val="24"/>
          <w:szCs w:val="24"/>
        </w:rPr>
      </w:pPr>
    </w:p>
    <w:p w:rsidR="00FB3918" w:rsidRPr="00AD64D0" w:rsidRDefault="00715058" w:rsidP="00BA7B78">
      <w:pP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Yermack</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(2013)</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Is Bitcoin a real currency? An economic appraisal</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AD64D0">
        <w:rPr>
          <w:rFonts w:ascii="Times New Roman" w:eastAsia="Times New Roman" w:hAnsi="Times New Roman" w:cs="Times New Roman"/>
          <w:i/>
          <w:color w:val="000000"/>
          <w:sz w:val="24"/>
          <w:szCs w:val="24"/>
        </w:rPr>
        <w:t>National</w:t>
      </w:r>
    </w:p>
    <w:p w:rsidR="00FB3918" w:rsidRDefault="00715058" w:rsidP="00BA7B78">
      <w:pPr>
        <w:spacing w:line="240" w:lineRule="auto"/>
        <w:ind w:firstLine="720"/>
        <w:rPr>
          <w:rFonts w:ascii="Times New Roman" w:eastAsia="Times New Roman" w:hAnsi="Times New Roman" w:cs="Times New Roman"/>
          <w:sz w:val="24"/>
          <w:szCs w:val="24"/>
        </w:rPr>
      </w:pPr>
      <w:r w:rsidRPr="00AD64D0">
        <w:rPr>
          <w:rFonts w:ascii="Times New Roman" w:eastAsia="Times New Roman" w:hAnsi="Times New Roman" w:cs="Times New Roman"/>
          <w:i/>
          <w:color w:val="000000"/>
          <w:sz w:val="24"/>
          <w:szCs w:val="24"/>
        </w:rPr>
        <w:t>Bureau of Economic Research</w:t>
      </w:r>
      <w:r w:rsidR="00AD64D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URL: http://www.nber.org/papers/w19747</w:t>
      </w: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FB3918" w:rsidRDefault="00FB3918"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726D3C" w:rsidRDefault="00726D3C" w:rsidP="00BA7B78">
      <w:pPr>
        <w:spacing w:line="240" w:lineRule="auto"/>
        <w:rPr>
          <w:rFonts w:ascii="Times New Roman" w:hAnsi="Times New Roman" w:cs="Times New Roman"/>
        </w:rPr>
      </w:pPr>
    </w:p>
    <w:p w:rsidR="00FB3918" w:rsidRDefault="00715058">
      <w:pPr>
        <w:rPr>
          <w:rFonts w:ascii="Times New Roman" w:hAnsi="Times New Roman" w:cs="Times New Roman"/>
          <w:b/>
        </w:rPr>
      </w:pPr>
      <w:r>
        <w:rPr>
          <w:rFonts w:ascii="Times New Roman" w:hAnsi="Times New Roman" w:cs="Times New Roman"/>
          <w:b/>
        </w:rPr>
        <w:t>Appendix</w:t>
      </w:r>
    </w:p>
    <w:p w:rsidR="00FB3918" w:rsidRDefault="00726D3C">
      <w:pPr>
        <w:rPr>
          <w:rFonts w:ascii="Times New Roman" w:hAnsi="Times New Roman" w:cs="Times New Roman"/>
          <w:b/>
        </w:rPr>
      </w:pPr>
      <w:r>
        <w:rPr>
          <w:noProof/>
        </w:rPr>
        <w:lastRenderedPageBreak/>
        <w:drawing>
          <wp:inline distT="0" distB="0" distL="0" distR="0" wp14:anchorId="4A8B54E6" wp14:editId="46C8D8AE">
            <wp:extent cx="4367977" cy="3584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6089" cy="3599311"/>
                    </a:xfrm>
                    <a:prstGeom prst="rect">
                      <a:avLst/>
                    </a:prstGeom>
                  </pic:spPr>
                </pic:pic>
              </a:graphicData>
            </a:graphic>
          </wp:inline>
        </w:drawing>
      </w:r>
    </w:p>
    <w:p w:rsidR="00726D3C" w:rsidRDefault="00726D3C">
      <w:pPr>
        <w:rPr>
          <w:rFonts w:ascii="Times New Roman" w:hAnsi="Times New Roman" w:cs="Times New Roman"/>
          <w:b/>
        </w:rPr>
      </w:pPr>
    </w:p>
    <w:tbl>
      <w:tblPr>
        <w:tblW w:w="8064" w:type="dxa"/>
        <w:tblLook w:val="04A0" w:firstRow="1" w:lastRow="0" w:firstColumn="1" w:lastColumn="0" w:noHBand="0" w:noVBand="1"/>
      </w:tblPr>
      <w:tblGrid>
        <w:gridCol w:w="3692"/>
        <w:gridCol w:w="266"/>
        <w:gridCol w:w="266"/>
        <w:gridCol w:w="1120"/>
        <w:gridCol w:w="920"/>
        <w:gridCol w:w="840"/>
        <w:gridCol w:w="960"/>
      </w:tblGrid>
      <w:tr w:rsidR="00FB3918" w:rsidTr="00726D3C">
        <w:trPr>
          <w:trHeight w:val="300"/>
        </w:trPr>
        <w:tc>
          <w:tcPr>
            <w:tcW w:w="4224" w:type="dxa"/>
            <w:gridSpan w:val="3"/>
            <w:tcBorders>
              <w:top w:val="nil"/>
              <w:left w:val="nil"/>
              <w:bottom w:val="nil"/>
              <w:right w:val="nil"/>
            </w:tcBorders>
            <w:shd w:val="clear" w:color="000000" w:fill="FFFFFF"/>
            <w:noWrap/>
            <w:vAlign w:val="bottom"/>
            <w:hideMark/>
          </w:tcPr>
          <w:p w:rsidR="00726D3C" w:rsidRDefault="00726D3C" w:rsidP="00726D3C">
            <w:pPr>
              <w:rPr>
                <w:rFonts w:ascii="Times New Roman" w:hAnsi="Times New Roman" w:cs="Times New Roman"/>
                <w:b/>
              </w:rPr>
            </w:pPr>
            <w:r>
              <w:rPr>
                <w:rFonts w:ascii="Calibri" w:eastAsia="Times New Roman" w:hAnsi="Calibri" w:cs="Calibri"/>
                <w:color w:val="000000"/>
              </w:rPr>
              <w:t> </w:t>
            </w:r>
            <w:r>
              <w:rPr>
                <w:rFonts w:ascii="Times New Roman" w:hAnsi="Times New Roman" w:cs="Times New Roman"/>
                <w:b/>
              </w:rPr>
              <w:t xml:space="preserve">Chart 2. </w:t>
            </w:r>
          </w:p>
          <w:p w:rsidR="00FB3918" w:rsidRDefault="00FB3918">
            <w:pPr>
              <w:spacing w:after="0" w:line="240" w:lineRule="auto"/>
              <w:rPr>
                <w:rFonts w:ascii="Calibri" w:eastAsia="Times New Roman" w:hAnsi="Calibri" w:cs="Calibri"/>
                <w:b/>
                <w:bCs/>
                <w:color w:val="000000"/>
              </w:rPr>
            </w:pP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auto" w:fill="auto"/>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867275" cy="3543300"/>
                  <wp:effectExtent l="0" t="0" r="9525" b="0"/>
                  <wp:wrapNone/>
                  <wp:docPr id="6" name="Picture 6">
                    <a:extLst xmlns:a="http://schemas.openxmlformats.org/drawingml/2006/main">
                      <a:ext uri="{FF2B5EF4-FFF2-40B4-BE49-F238E27FC236}">
                        <a16:creationId xmlns:a16="http://schemas.microsoft.com/office/drawing/2014/main" id="{9C259A7F-B3A5-4A81-AAD2-34AC26B8B50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C259A7F-B3A5-4A81-AAD2-34AC26B8B507}"/>
                              </a:ext>
                            </a:extLst>
                          </pic:cNvPr>
                          <pic:cNvPicPr>
                            <a:picLocks noChangeAspect="1"/>
                          </pic:cNvPicPr>
                        </pic:nvPicPr>
                        <pic:blipFill>
                          <a:blip r:embed="rId9"/>
                          <a:stretch>
                            <a:fillRect/>
                          </a:stretch>
                        </pic:blipFill>
                        <pic:spPr>
                          <a:xfrm>
                            <a:off x="0" y="0"/>
                            <a:ext cx="4873710" cy="3543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620"/>
            </w:tblGrid>
            <w:tr w:rsidR="00FB3918">
              <w:trPr>
                <w:trHeight w:val="300"/>
                <w:tblCellSpacing w:w="0" w:type="dxa"/>
              </w:trPr>
              <w:tc>
                <w:tcPr>
                  <w:tcW w:w="16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B3918" w:rsidTr="00726D3C">
        <w:trPr>
          <w:trHeight w:val="300"/>
        </w:trPr>
        <w:tc>
          <w:tcPr>
            <w:tcW w:w="3692" w:type="dxa"/>
            <w:tcBorders>
              <w:top w:val="nil"/>
              <w:left w:val="nil"/>
              <w:bottom w:val="nil"/>
              <w:right w:val="nil"/>
            </w:tcBorders>
            <w:shd w:val="clear" w:color="000000" w:fill="FFFFFF"/>
            <w:noWrap/>
            <w:vAlign w:val="bottom"/>
            <w:hideMark/>
          </w:tcPr>
          <w:p w:rsidR="00726D3C" w:rsidRDefault="00715058" w:rsidP="00726D3C">
            <w:pPr>
              <w:rPr>
                <w:rFonts w:ascii="Times New Roman" w:hAnsi="Times New Roman" w:cs="Times New Roman"/>
                <w:b/>
              </w:rPr>
            </w:pPr>
            <w:r>
              <w:rPr>
                <w:rFonts w:ascii="Calibri" w:eastAsia="Times New Roman" w:hAnsi="Calibri" w:cs="Calibri"/>
                <w:color w:val="000000"/>
              </w:rPr>
              <w:lastRenderedPageBreak/>
              <w:t> </w:t>
            </w:r>
            <w:r w:rsidR="00726D3C">
              <w:rPr>
                <w:rFonts w:ascii="Times New Roman" w:hAnsi="Times New Roman" w:cs="Times New Roman"/>
                <w:b/>
              </w:rPr>
              <w:t>Table 1. Data Summary</w:t>
            </w:r>
          </w:p>
          <w:p w:rsidR="00FB3918" w:rsidRDefault="00FB3918">
            <w:pPr>
              <w:spacing w:after="0" w:line="240" w:lineRule="auto"/>
              <w:rPr>
                <w:rFonts w:ascii="Calibri" w:eastAsia="Times New Roman" w:hAnsi="Calibri" w:cs="Calibri"/>
                <w:color w:val="000000"/>
              </w:rPr>
            </w:pP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66"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1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2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84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FB3918" w:rsidRDefault="0071505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rsidR="00FB3918" w:rsidRDefault="00726D3C">
      <w:pPr>
        <w:rPr>
          <w:rFonts w:ascii="Times New Roman" w:hAnsi="Times New Roman" w:cs="Times New Roman"/>
          <w:b/>
        </w:rPr>
      </w:pPr>
      <w:r w:rsidRPr="00726D3C">
        <w:rPr>
          <w:noProof/>
        </w:rPr>
        <w:drawing>
          <wp:inline distT="0" distB="0" distL="0" distR="0">
            <wp:extent cx="5943600" cy="5257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57165"/>
                    </a:xfrm>
                    <a:prstGeom prst="rect">
                      <a:avLst/>
                    </a:prstGeom>
                    <a:noFill/>
                    <a:ln>
                      <a:noFill/>
                    </a:ln>
                  </pic:spPr>
                </pic:pic>
              </a:graphicData>
            </a:graphic>
          </wp:inline>
        </w:drawing>
      </w:r>
    </w:p>
    <w:p w:rsidR="00FB3918" w:rsidRDefault="00FB3918">
      <w:pPr>
        <w:rPr>
          <w:rFonts w:ascii="Times New Roman" w:hAnsi="Times New Roman" w:cs="Times New Roman"/>
          <w:b/>
        </w:rPr>
      </w:pPr>
    </w:p>
    <w:p w:rsidR="00FB3918" w:rsidRDefault="00FB3918">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2</w:t>
      </w:r>
      <w:r w:rsidR="00726D3C">
        <w:rPr>
          <w:rFonts w:ascii="Times New Roman" w:hAnsi="Times New Roman" w:cs="Times New Roman"/>
          <w:b/>
        </w:rPr>
        <w:t>. Bitcoin Future Returns Models</w:t>
      </w:r>
    </w:p>
    <w:p w:rsidR="00087951" w:rsidRDefault="00087951">
      <w:pPr>
        <w:rPr>
          <w:rFonts w:ascii="Times New Roman" w:hAnsi="Times New Roman" w:cs="Times New Roman"/>
          <w:b/>
        </w:rPr>
      </w:pPr>
      <w:r w:rsidRPr="00087951">
        <w:rPr>
          <w:noProof/>
        </w:rPr>
        <w:lastRenderedPageBreak/>
        <w:drawing>
          <wp:inline distT="0" distB="0" distL="0" distR="0" wp14:anchorId="683D6254" wp14:editId="15F21DB0">
            <wp:extent cx="5943600"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726D3C" w:rsidRDefault="00726D3C">
      <w:pPr>
        <w:rPr>
          <w:rFonts w:ascii="Times New Roman" w:hAnsi="Times New Roman" w:cs="Times New Roman"/>
          <w:b/>
        </w:rPr>
      </w:pPr>
    </w:p>
    <w:p w:rsidR="00087951" w:rsidRDefault="00087951">
      <w:pPr>
        <w:rPr>
          <w:rFonts w:ascii="Times New Roman" w:hAnsi="Times New Roman" w:cs="Times New Roman"/>
          <w:b/>
        </w:rPr>
      </w:pPr>
      <w:r>
        <w:rPr>
          <w:rFonts w:ascii="Times New Roman" w:hAnsi="Times New Roman" w:cs="Times New Roman"/>
          <w:b/>
        </w:rPr>
        <w:t>Table 3</w:t>
      </w:r>
      <w:r w:rsidR="00726D3C">
        <w:rPr>
          <w:rFonts w:ascii="Times New Roman" w:hAnsi="Times New Roman" w:cs="Times New Roman"/>
          <w:b/>
        </w:rPr>
        <w:t>. Reference Models</w:t>
      </w:r>
    </w:p>
    <w:p w:rsidR="00087951" w:rsidRDefault="00087951">
      <w:pPr>
        <w:rPr>
          <w:rFonts w:ascii="Times New Roman" w:hAnsi="Times New Roman" w:cs="Times New Roman"/>
          <w:b/>
        </w:rPr>
      </w:pPr>
      <w:r w:rsidRPr="00087951">
        <w:rPr>
          <w:noProof/>
        </w:rPr>
        <w:lastRenderedPageBreak/>
        <w:drawing>
          <wp:inline distT="0" distB="0" distL="0" distR="0">
            <wp:extent cx="3578119" cy="44476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2183" cy="4465124"/>
                    </a:xfrm>
                    <a:prstGeom prst="rect">
                      <a:avLst/>
                    </a:prstGeom>
                    <a:noFill/>
                    <a:ln>
                      <a:noFill/>
                    </a:ln>
                  </pic:spPr>
                </pic:pic>
              </a:graphicData>
            </a:graphic>
          </wp:inline>
        </w:drawing>
      </w:r>
    </w:p>
    <w:sectPr w:rsidR="0008795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5FA" w:rsidRDefault="008F25FA">
      <w:pPr>
        <w:spacing w:after="0" w:line="240" w:lineRule="auto"/>
      </w:pPr>
      <w:r>
        <w:separator/>
      </w:r>
    </w:p>
  </w:endnote>
  <w:endnote w:type="continuationSeparator" w:id="0">
    <w:p w:rsidR="008F25FA" w:rsidRDefault="008F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455471"/>
      <w:docPartObj>
        <w:docPartGallery w:val="Page Numbers (Bottom of Page)"/>
        <w:docPartUnique/>
      </w:docPartObj>
    </w:sdtPr>
    <w:sdtEndPr>
      <w:rPr>
        <w:noProof/>
      </w:rPr>
    </w:sdtEndPr>
    <w:sdtContent>
      <w:p w:rsidR="00DE6453" w:rsidRDefault="00DE645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DE6453" w:rsidRDefault="00DE6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5FA" w:rsidRDefault="008F25FA">
      <w:pPr>
        <w:spacing w:after="0" w:line="240" w:lineRule="auto"/>
      </w:pPr>
      <w:r>
        <w:separator/>
      </w:r>
    </w:p>
  </w:footnote>
  <w:footnote w:type="continuationSeparator" w:id="0">
    <w:p w:rsidR="008F25FA" w:rsidRDefault="008F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453" w:rsidRDefault="00DE6453" w:rsidP="0016412D">
    <w:pPr>
      <w:spacing w:line="240" w:lineRule="auto"/>
      <w:ind w:left="7200"/>
      <w:jc w:val="both"/>
      <w:rPr>
        <w:rFonts w:ascii="Times New Roman" w:eastAsia="Times New Roman" w:hAnsi="Times New Roman" w:cs="Times New Roman"/>
        <w:sz w:val="24"/>
        <w:szCs w:val="24"/>
      </w:rPr>
    </w:pPr>
    <w:r>
      <w:rPr>
        <w:rFonts w:ascii="Calibri" w:eastAsia="Times New Roman" w:hAnsi="Calibri" w:cs="Calibri"/>
        <w:color w:val="000000"/>
      </w:rPr>
      <w:t>Manning Allen Worthley</w:t>
    </w:r>
  </w:p>
  <w:p w:rsidR="00DE6453" w:rsidRDefault="00DE6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70512"/>
    <w:multiLevelType w:val="multilevel"/>
    <w:tmpl w:val="91ACD77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F73CD"/>
    <w:multiLevelType w:val="multilevel"/>
    <w:tmpl w:val="85E06E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35BF6"/>
    <w:multiLevelType w:val="multilevel"/>
    <w:tmpl w:val="9062A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B5D01"/>
    <w:multiLevelType w:val="multilevel"/>
    <w:tmpl w:val="57C0EE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3"/>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18"/>
    <w:rsid w:val="000109F2"/>
    <w:rsid w:val="00062773"/>
    <w:rsid w:val="0006512D"/>
    <w:rsid w:val="00084309"/>
    <w:rsid w:val="00087951"/>
    <w:rsid w:val="000B02C7"/>
    <w:rsid w:val="000E0374"/>
    <w:rsid w:val="000F08DA"/>
    <w:rsid w:val="000F19B4"/>
    <w:rsid w:val="001005E5"/>
    <w:rsid w:val="001150F5"/>
    <w:rsid w:val="001178B9"/>
    <w:rsid w:val="001359C0"/>
    <w:rsid w:val="00143DBF"/>
    <w:rsid w:val="001568F2"/>
    <w:rsid w:val="0016412D"/>
    <w:rsid w:val="00177DC8"/>
    <w:rsid w:val="001962FE"/>
    <w:rsid w:val="001A67D7"/>
    <w:rsid w:val="001B12DB"/>
    <w:rsid w:val="001E0341"/>
    <w:rsid w:val="00220FD3"/>
    <w:rsid w:val="002369F2"/>
    <w:rsid w:val="0024596A"/>
    <w:rsid w:val="00265BE5"/>
    <w:rsid w:val="00282F14"/>
    <w:rsid w:val="002D0FD1"/>
    <w:rsid w:val="00354903"/>
    <w:rsid w:val="00381F54"/>
    <w:rsid w:val="003864C4"/>
    <w:rsid w:val="003F3A51"/>
    <w:rsid w:val="00405A7F"/>
    <w:rsid w:val="00412E49"/>
    <w:rsid w:val="00433F75"/>
    <w:rsid w:val="0043436E"/>
    <w:rsid w:val="00450EAF"/>
    <w:rsid w:val="00454562"/>
    <w:rsid w:val="004C1CD2"/>
    <w:rsid w:val="005650C8"/>
    <w:rsid w:val="005A62C9"/>
    <w:rsid w:val="005C2CC6"/>
    <w:rsid w:val="005E0516"/>
    <w:rsid w:val="005E3234"/>
    <w:rsid w:val="00604013"/>
    <w:rsid w:val="00605CCC"/>
    <w:rsid w:val="006B6D13"/>
    <w:rsid w:val="00715058"/>
    <w:rsid w:val="00716CB8"/>
    <w:rsid w:val="00720BFE"/>
    <w:rsid w:val="00726D3C"/>
    <w:rsid w:val="00773009"/>
    <w:rsid w:val="007C7949"/>
    <w:rsid w:val="007D59E2"/>
    <w:rsid w:val="007E2056"/>
    <w:rsid w:val="007F6039"/>
    <w:rsid w:val="00810FB7"/>
    <w:rsid w:val="008119AD"/>
    <w:rsid w:val="00821493"/>
    <w:rsid w:val="008B29DF"/>
    <w:rsid w:val="008F25FA"/>
    <w:rsid w:val="00916145"/>
    <w:rsid w:val="009266D2"/>
    <w:rsid w:val="00981B9A"/>
    <w:rsid w:val="00990090"/>
    <w:rsid w:val="009D799F"/>
    <w:rsid w:val="009F3C23"/>
    <w:rsid w:val="009F4F69"/>
    <w:rsid w:val="009F6082"/>
    <w:rsid w:val="00A06C9C"/>
    <w:rsid w:val="00A070A1"/>
    <w:rsid w:val="00A46C26"/>
    <w:rsid w:val="00AA6E85"/>
    <w:rsid w:val="00AC1F85"/>
    <w:rsid w:val="00AC537A"/>
    <w:rsid w:val="00AD64D0"/>
    <w:rsid w:val="00B166C4"/>
    <w:rsid w:val="00B25F32"/>
    <w:rsid w:val="00B41056"/>
    <w:rsid w:val="00B7793C"/>
    <w:rsid w:val="00B8580F"/>
    <w:rsid w:val="00BA7B78"/>
    <w:rsid w:val="00BD6472"/>
    <w:rsid w:val="00BE193E"/>
    <w:rsid w:val="00BF0A25"/>
    <w:rsid w:val="00BF2E09"/>
    <w:rsid w:val="00C02822"/>
    <w:rsid w:val="00C87D7E"/>
    <w:rsid w:val="00CA522E"/>
    <w:rsid w:val="00CB3931"/>
    <w:rsid w:val="00CC10AC"/>
    <w:rsid w:val="00CD0118"/>
    <w:rsid w:val="00CF7D96"/>
    <w:rsid w:val="00D015CC"/>
    <w:rsid w:val="00D76D6F"/>
    <w:rsid w:val="00DB4901"/>
    <w:rsid w:val="00DC12E0"/>
    <w:rsid w:val="00DC2520"/>
    <w:rsid w:val="00DE6453"/>
    <w:rsid w:val="00DF4547"/>
    <w:rsid w:val="00E06CA8"/>
    <w:rsid w:val="00E12836"/>
    <w:rsid w:val="00E558F0"/>
    <w:rsid w:val="00E96389"/>
    <w:rsid w:val="00EA7C7F"/>
    <w:rsid w:val="00EE35C1"/>
    <w:rsid w:val="00F03312"/>
    <w:rsid w:val="00F07617"/>
    <w:rsid w:val="00F11431"/>
    <w:rsid w:val="00F3096E"/>
    <w:rsid w:val="00F83606"/>
    <w:rsid w:val="00F93AF3"/>
    <w:rsid w:val="00FB3918"/>
    <w:rsid w:val="00FF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CA8DC"/>
  <w15:docId w15:val="{6B97C535-901C-4066-A01E-E5E0BC1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23572">
      <w:bodyDiv w:val="1"/>
      <w:marLeft w:val="0"/>
      <w:marRight w:val="0"/>
      <w:marTop w:val="0"/>
      <w:marBottom w:val="0"/>
      <w:divBdr>
        <w:top w:val="none" w:sz="0" w:space="0" w:color="auto"/>
        <w:left w:val="none" w:sz="0" w:space="0" w:color="auto"/>
        <w:bottom w:val="none" w:sz="0" w:space="0" w:color="auto"/>
        <w:right w:val="none" w:sz="0" w:space="0" w:color="auto"/>
      </w:divBdr>
    </w:div>
    <w:div w:id="466320671">
      <w:bodyDiv w:val="1"/>
      <w:marLeft w:val="0"/>
      <w:marRight w:val="0"/>
      <w:marTop w:val="0"/>
      <w:marBottom w:val="0"/>
      <w:divBdr>
        <w:top w:val="none" w:sz="0" w:space="0" w:color="auto"/>
        <w:left w:val="none" w:sz="0" w:space="0" w:color="auto"/>
        <w:bottom w:val="none" w:sz="0" w:space="0" w:color="auto"/>
        <w:right w:val="none" w:sz="0" w:space="0" w:color="auto"/>
      </w:divBdr>
    </w:div>
    <w:div w:id="612172274">
      <w:bodyDiv w:val="1"/>
      <w:marLeft w:val="0"/>
      <w:marRight w:val="0"/>
      <w:marTop w:val="0"/>
      <w:marBottom w:val="0"/>
      <w:divBdr>
        <w:top w:val="none" w:sz="0" w:space="0" w:color="auto"/>
        <w:left w:val="none" w:sz="0" w:space="0" w:color="auto"/>
        <w:bottom w:val="none" w:sz="0" w:space="0" w:color="auto"/>
        <w:right w:val="none" w:sz="0" w:space="0" w:color="auto"/>
      </w:divBdr>
    </w:div>
    <w:div w:id="686949878">
      <w:bodyDiv w:val="1"/>
      <w:marLeft w:val="0"/>
      <w:marRight w:val="0"/>
      <w:marTop w:val="0"/>
      <w:marBottom w:val="0"/>
      <w:divBdr>
        <w:top w:val="none" w:sz="0" w:space="0" w:color="auto"/>
        <w:left w:val="none" w:sz="0" w:space="0" w:color="auto"/>
        <w:bottom w:val="none" w:sz="0" w:space="0" w:color="auto"/>
        <w:right w:val="none" w:sz="0" w:space="0" w:color="auto"/>
      </w:divBdr>
      <w:divsChild>
        <w:div w:id="824399899">
          <w:marLeft w:val="0"/>
          <w:marRight w:val="0"/>
          <w:marTop w:val="0"/>
          <w:marBottom w:val="0"/>
          <w:divBdr>
            <w:top w:val="none" w:sz="0" w:space="0" w:color="auto"/>
            <w:left w:val="none" w:sz="0" w:space="0" w:color="auto"/>
            <w:bottom w:val="none" w:sz="0" w:space="0" w:color="auto"/>
            <w:right w:val="none" w:sz="0" w:space="0" w:color="auto"/>
          </w:divBdr>
        </w:div>
        <w:div w:id="341128557">
          <w:marLeft w:val="0"/>
          <w:marRight w:val="0"/>
          <w:marTop w:val="0"/>
          <w:marBottom w:val="0"/>
          <w:divBdr>
            <w:top w:val="none" w:sz="0" w:space="0" w:color="auto"/>
            <w:left w:val="none" w:sz="0" w:space="0" w:color="auto"/>
            <w:bottom w:val="none" w:sz="0" w:space="0" w:color="auto"/>
            <w:right w:val="none" w:sz="0" w:space="0" w:color="auto"/>
          </w:divBdr>
        </w:div>
      </w:divsChild>
    </w:div>
    <w:div w:id="1354071078">
      <w:bodyDiv w:val="1"/>
      <w:marLeft w:val="0"/>
      <w:marRight w:val="0"/>
      <w:marTop w:val="0"/>
      <w:marBottom w:val="0"/>
      <w:divBdr>
        <w:top w:val="none" w:sz="0" w:space="0" w:color="auto"/>
        <w:left w:val="none" w:sz="0" w:space="0" w:color="auto"/>
        <w:bottom w:val="none" w:sz="0" w:space="0" w:color="auto"/>
        <w:right w:val="none" w:sz="0" w:space="0" w:color="auto"/>
      </w:divBdr>
    </w:div>
    <w:div w:id="180997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575F1-808B-45EE-9F7B-9ECFE1E6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 Worthley</cp:lastModifiedBy>
  <cp:revision>8</cp:revision>
  <cp:lastPrinted>2018-10-30T22:15:00Z</cp:lastPrinted>
  <dcterms:created xsi:type="dcterms:W3CDTF">2018-11-03T16:17:00Z</dcterms:created>
  <dcterms:modified xsi:type="dcterms:W3CDTF">2018-11-21T22:20:00Z</dcterms:modified>
</cp:coreProperties>
</file>