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918" w:rsidRDefault="009153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Are CBOE Bitcoin Futures a Safe-Haven?</w:t>
      </w:r>
    </w:p>
    <w:p w:rsidR="00FB3918" w:rsidRDefault="0091539E">
      <w:pPr>
        <w:numPr>
          <w:ilvl w:val="0"/>
          <w:numId w:val="1"/>
        </w:numPr>
        <w:spacing w:line="240" w:lineRule="auto"/>
        <w:ind w:left="36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Introduction </w:t>
      </w:r>
    </w:p>
    <w:p w:rsidR="00FB3918" w:rsidRDefault="009153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With the launch of the Chicago Board of Exchange’s Bitcoin futures in December 2017, the relationship between Bitcoin and Bitcoin futures has not been explored to a large extent in the academic </w:t>
      </w:r>
      <w:r>
        <w:rPr>
          <w:rFonts w:ascii="Times New Roman" w:eastAsia="Times New Roman" w:hAnsi="Times New Roman" w:cs="Times New Roman"/>
          <w:color w:val="000000"/>
          <w:sz w:val="24"/>
          <w:szCs w:val="24"/>
        </w:rPr>
        <w:t>literature. While these are not the first derivatives of Bitcoin as there have been prediction markets present for some time, the novelty to the CBOE Bitcoin Futures relies on the respectability of the exchange as a financial institution which provides a m</w:t>
      </w:r>
      <w:r>
        <w:rPr>
          <w:rFonts w:ascii="Times New Roman" w:eastAsia="Times New Roman" w:hAnsi="Times New Roman" w:cs="Times New Roman"/>
          <w:color w:val="000000"/>
          <w:sz w:val="24"/>
          <w:szCs w:val="24"/>
        </w:rPr>
        <w:t>ore legitimized means of investing in Bitcoin. As will be discussed, transacting in Bitcoin has a large counterparty risk and a liquidity problem. Aware of these issues, investors will likely find the new futures market more attractive than buying a</w:t>
      </w:r>
      <w:bookmarkStart w:id="0" w:name="_GoBack"/>
      <w:bookmarkEnd w:id="0"/>
      <w:r>
        <w:rPr>
          <w:rFonts w:ascii="Times New Roman" w:eastAsia="Times New Roman" w:hAnsi="Times New Roman" w:cs="Times New Roman"/>
          <w:color w:val="000000"/>
          <w:sz w:val="24"/>
          <w:szCs w:val="24"/>
        </w:rPr>
        <w:t>nd sell</w:t>
      </w:r>
      <w:r>
        <w:rPr>
          <w:rFonts w:ascii="Times New Roman" w:eastAsia="Times New Roman" w:hAnsi="Times New Roman" w:cs="Times New Roman"/>
          <w:color w:val="000000"/>
          <w:sz w:val="24"/>
          <w:szCs w:val="24"/>
        </w:rPr>
        <w:t xml:space="preserve">ing Bitcoin directly as the futures settle in cash, have a unified reference price of Bitcoin, are regulated by the Commodity Futures Trading Commission, and allow for the ability to short the asset. Further, as many recent studies have found that Bitcoin </w:t>
      </w:r>
      <w:r>
        <w:rPr>
          <w:rFonts w:ascii="Times New Roman" w:eastAsia="Times New Roman" w:hAnsi="Times New Roman" w:cs="Times New Roman"/>
          <w:color w:val="000000"/>
          <w:sz w:val="24"/>
          <w:szCs w:val="24"/>
        </w:rPr>
        <w:t>may act as a safe-haven from shocks in the stock market, portfolio managers may seek to use Bitcoin futures to reduce their portfolio risk. Thus, do Bitcoin futures provide the same safe-haven effect as described in the literature, and what is the relation</w:t>
      </w:r>
      <w:r>
        <w:rPr>
          <w:rFonts w:ascii="Times New Roman" w:eastAsia="Times New Roman" w:hAnsi="Times New Roman" w:cs="Times New Roman"/>
          <w:color w:val="000000"/>
          <w:sz w:val="24"/>
          <w:szCs w:val="24"/>
        </w:rPr>
        <w:t>ship between Bitcoin</w:t>
      </w:r>
      <w:r w:rsidR="006B6D13">
        <w:rPr>
          <w:rFonts w:ascii="Times New Roman" w:eastAsia="Times New Roman" w:hAnsi="Times New Roman" w:cs="Times New Roman"/>
          <w:color w:val="000000"/>
          <w:sz w:val="24"/>
          <w:szCs w:val="24"/>
        </w:rPr>
        <w:t xml:space="preserve"> and their futures</w:t>
      </w:r>
      <w:r>
        <w:rPr>
          <w:rFonts w:ascii="Times New Roman" w:eastAsia="Times New Roman" w:hAnsi="Times New Roman" w:cs="Times New Roman"/>
          <w:color w:val="000000"/>
          <w:sz w:val="24"/>
          <w:szCs w:val="24"/>
        </w:rPr>
        <w:t>?</w:t>
      </w:r>
    </w:p>
    <w:p w:rsidR="00FB3918" w:rsidRDefault="0091539E">
      <w:pPr>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paper reviews several groups of literature on Bitcoin. The first group of papers introduces Bitcoin as a technology, presents a few studies on the risks inherent in the use of Bitcoin, and describes how Bitcoin is a speculative i</w:t>
      </w:r>
      <w:r>
        <w:rPr>
          <w:rFonts w:ascii="Times New Roman" w:eastAsia="Times New Roman" w:hAnsi="Times New Roman" w:cs="Times New Roman"/>
          <w:color w:val="000000"/>
          <w:sz w:val="24"/>
          <w:szCs w:val="24"/>
        </w:rPr>
        <w:t>nvestment. The second group of papers discusses the use of traditional commodities and Bitcoin as a safe-haven.</w:t>
      </w:r>
    </w:p>
    <w:p w:rsidR="00FB3918" w:rsidRDefault="0091539E">
      <w:pPr>
        <w:numPr>
          <w:ilvl w:val="0"/>
          <w:numId w:val="2"/>
        </w:numPr>
        <w:spacing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 Background on Bitcoin</w:t>
      </w:r>
    </w:p>
    <w:p w:rsidR="00FB3918" w:rsidRDefault="009153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is Bitcoin? Bitcoin is a decentralized virtual currency that boasts a new technology called blockchain which put si</w:t>
      </w:r>
      <w:r>
        <w:rPr>
          <w:rFonts w:ascii="Times New Roman" w:eastAsia="Times New Roman" w:hAnsi="Times New Roman" w:cs="Times New Roman"/>
          <w:color w:val="000000"/>
          <w:sz w:val="24"/>
          <w:szCs w:val="24"/>
        </w:rPr>
        <w:t xml:space="preserve">mply is a shared public ledger of all confirmed transactions of Bitcoin. To confirm these transactions and transact in Bitcoin, the technology relies on a </w:t>
      </w:r>
      <w:r>
        <w:rPr>
          <w:rFonts w:ascii="Times New Roman" w:eastAsia="Times New Roman" w:hAnsi="Times New Roman" w:cs="Times New Roman"/>
          <w:color w:val="000000"/>
          <w:sz w:val="24"/>
          <w:szCs w:val="24"/>
        </w:rPr>
        <w:lastRenderedPageBreak/>
        <w:t>distributed consensus system otherwise called “mining”</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which validates the transaction through a netw</w:t>
      </w:r>
      <w:r>
        <w:rPr>
          <w:rFonts w:ascii="Times New Roman" w:eastAsia="Times New Roman" w:hAnsi="Times New Roman" w:cs="Times New Roman"/>
          <w:color w:val="000000"/>
          <w:sz w:val="24"/>
          <w:szCs w:val="24"/>
        </w:rPr>
        <w:t xml:space="preserve">ork of computers. These computers evaluate increasingly difficult cryptographic hash functions to find a specific chain of randomly generated alphanumeric characters. Once found, the correct alphanumeric string of characters symbolizes a block being added </w:t>
      </w:r>
      <w:r>
        <w:rPr>
          <w:rFonts w:ascii="Times New Roman" w:eastAsia="Times New Roman" w:hAnsi="Times New Roman" w:cs="Times New Roman"/>
          <w:color w:val="000000"/>
          <w:sz w:val="24"/>
          <w:szCs w:val="24"/>
        </w:rPr>
        <w:t>to the block chain and the transaction being validated. Participating miners are incentivized to validate transactions because the computer that ascertains the correct string of characters receives a reward of newly generated Bitcoin which in January was 1</w:t>
      </w:r>
      <w:r>
        <w:rPr>
          <w:rFonts w:ascii="Times New Roman" w:eastAsia="Times New Roman" w:hAnsi="Times New Roman" w:cs="Times New Roman"/>
          <w:color w:val="000000"/>
          <w:sz w:val="24"/>
          <w:szCs w:val="24"/>
        </w:rPr>
        <w:t>2.5 Bitcoin per block representing $200,000 of US currency. (“How Bitcoin Works”) However, the number of Bitcoin rewarded per block decreases with time as the model allowing the generation of the currency asymptotically reduces the amount of newly minted B</w:t>
      </w:r>
      <w:r>
        <w:rPr>
          <w:rFonts w:ascii="Times New Roman" w:eastAsia="Times New Roman" w:hAnsi="Times New Roman" w:cs="Times New Roman"/>
          <w:color w:val="000000"/>
          <w:sz w:val="24"/>
          <w:szCs w:val="24"/>
        </w:rPr>
        <w:t>itcoin to zero as the total number</w:t>
      </w:r>
      <w:r w:rsidR="006B6D13">
        <w:rPr>
          <w:rFonts w:ascii="Times New Roman" w:eastAsia="Times New Roman" w:hAnsi="Times New Roman" w:cs="Times New Roman"/>
          <w:color w:val="000000"/>
          <w:sz w:val="24"/>
          <w:szCs w:val="24"/>
        </w:rPr>
        <w:t xml:space="preserve"> of Bitcoin</w:t>
      </w:r>
      <w:r>
        <w:rPr>
          <w:rFonts w:ascii="Times New Roman" w:eastAsia="Times New Roman" w:hAnsi="Times New Roman" w:cs="Times New Roman"/>
          <w:color w:val="000000"/>
          <w:sz w:val="24"/>
          <w:szCs w:val="24"/>
        </w:rPr>
        <w:t xml:space="preserve"> in the market approaches 21 million. </w:t>
      </w:r>
      <w:r>
        <w:rPr>
          <w:rFonts w:ascii="Times New Roman" w:eastAsia="Times New Roman" w:hAnsi="Times New Roman" w:cs="Times New Roman"/>
          <w:color w:val="000000"/>
        </w:rPr>
        <w:t>(</w:t>
      </w:r>
      <w:r>
        <w:rPr>
          <w:rFonts w:ascii="Times New Roman" w:eastAsia="Times New Roman" w:hAnsi="Times New Roman" w:cs="Times New Roman"/>
          <w:color w:val="000000"/>
          <w:sz w:val="24"/>
          <w:szCs w:val="24"/>
        </w:rPr>
        <w:t>Nakamoto 2018)</w:t>
      </w:r>
    </w:p>
    <w:p w:rsidR="00FB3918" w:rsidRDefault="0091539E">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this new technology, Yermack (2013) critiques the efficacy of Bitcoin as a currency. He analyzes Bitcoin on several factors that influence currency: if it functio</w:t>
      </w:r>
      <w:r>
        <w:rPr>
          <w:rFonts w:ascii="Times New Roman" w:eastAsia="Times New Roman" w:hAnsi="Times New Roman" w:cs="Times New Roman"/>
          <w:color w:val="000000"/>
          <w:sz w:val="24"/>
          <w:szCs w:val="24"/>
        </w:rPr>
        <w:t>ns as a medium of exchange, a unit of account, and a store of value. According to Yermack 2013, Bitcoin has several glaring issues for satisfying these criteria. For one, it is considerably more difficult to procure Bitcoin compared to other currencies. Ex</w:t>
      </w:r>
      <w:r>
        <w:rPr>
          <w:rFonts w:ascii="Times New Roman" w:eastAsia="Times New Roman" w:hAnsi="Times New Roman" w:cs="Times New Roman"/>
          <w:color w:val="000000"/>
          <w:sz w:val="24"/>
          <w:szCs w:val="24"/>
        </w:rPr>
        <w:t xml:space="preserve">changes of Bitcoin have low liquidity and significant bid-ask spreads. Secondly, Bitcoin cannot be deposited in banks and must be stored in an electronic wallet </w:t>
      </w:r>
      <w:r>
        <w:rPr>
          <w:rFonts w:ascii="Times New Roman" w:eastAsia="Times New Roman" w:hAnsi="Times New Roman" w:cs="Times New Roman"/>
          <w:color w:val="000000"/>
          <w:sz w:val="24"/>
          <w:szCs w:val="24"/>
        </w:rPr>
        <w:t xml:space="preserve">on a computer. The storage of value is contingent on the accurate storage of the Bitcoin </w:t>
      </w:r>
      <w:r>
        <w:rPr>
          <w:rFonts w:ascii="Times New Roman" w:eastAsia="Times New Roman" w:hAnsi="Times New Roman" w:cs="Times New Roman"/>
          <w:color w:val="000000"/>
          <w:sz w:val="24"/>
          <w:szCs w:val="24"/>
        </w:rPr>
        <w:t>wallet and has inherent risks. Lastly, he argues that Bitcoin has no commercial value or practical use due to the small volume of transactions that take place in Bitcoin. He pushes that Bitcoin is more of a speculative investment than an actual currency.  </w:t>
      </w:r>
      <w:r>
        <w:rPr>
          <w:rFonts w:ascii="Times New Roman" w:eastAsia="Times New Roman" w:hAnsi="Times New Roman" w:cs="Times New Roman"/>
          <w:color w:val="000000"/>
          <w:sz w:val="24"/>
          <w:szCs w:val="24"/>
        </w:rPr>
        <w:t>(Yermack 2013)</w:t>
      </w:r>
    </w:p>
    <w:p w:rsidR="00FB3918" w:rsidRDefault="009153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Like Yermack (2013), Moore (2013) discusses risks associated with transacting in Bitcoin as acquired through Bitcoin exchanges. His analysis focuses on the survivability of Bitcoin exchanges. Interestingly, he finds that of the 40 Bitcoin ex</w:t>
      </w:r>
      <w:r>
        <w:rPr>
          <w:rFonts w:ascii="Times New Roman" w:eastAsia="Times New Roman" w:hAnsi="Times New Roman" w:cs="Times New Roman"/>
          <w:color w:val="000000"/>
          <w:sz w:val="24"/>
          <w:szCs w:val="24"/>
        </w:rPr>
        <w:t>changes that have existed up to 2013, 18 exchanges have closed and 5 of the exchanges did not reimburse the participants</w:t>
      </w:r>
      <w:r w:rsidR="006B6D13">
        <w:rPr>
          <w:rFonts w:ascii="Times New Roman" w:eastAsia="Times New Roman" w:hAnsi="Times New Roman" w:cs="Times New Roman"/>
          <w:color w:val="000000"/>
          <w:sz w:val="24"/>
          <w:szCs w:val="24"/>
        </w:rPr>
        <w:t xml:space="preserve"> which f</w:t>
      </w:r>
      <w:r>
        <w:rPr>
          <w:rFonts w:ascii="Times New Roman" w:eastAsia="Times New Roman" w:hAnsi="Times New Roman" w:cs="Times New Roman"/>
          <w:color w:val="000000"/>
          <w:sz w:val="24"/>
          <w:szCs w:val="24"/>
        </w:rPr>
        <w:t>urther suggest</w:t>
      </w:r>
      <w:r w:rsidR="006B6D1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that there are real risks of transacting in Bitcoin. (Moore 2013)</w:t>
      </w:r>
    </w:p>
    <w:p w:rsidR="00FB3918" w:rsidRDefault="009153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Foley (2018) utilizes </w:t>
      </w:r>
      <w:r w:rsidR="003F3A51">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public ledger of Bitcoin t</w:t>
      </w:r>
      <w:r>
        <w:rPr>
          <w:rFonts w:ascii="Times New Roman" w:eastAsia="Times New Roman" w:hAnsi="Times New Roman" w:cs="Times New Roman"/>
          <w:color w:val="000000"/>
          <w:sz w:val="24"/>
          <w:szCs w:val="24"/>
        </w:rPr>
        <w:t xml:space="preserve">ransactions </w:t>
      </w:r>
      <w:r>
        <w:rPr>
          <w:rFonts w:ascii="Times New Roman" w:eastAsia="Times New Roman" w:hAnsi="Times New Roman" w:cs="Times New Roman"/>
          <w:color w:val="000000"/>
          <w:sz w:val="24"/>
          <w:szCs w:val="24"/>
        </w:rPr>
        <w:t>to decipher what Bitcoin wallet accounts are likely to be linked to criminal activity based on their transactional history. In their study, they categorize Bitcoin users into two different bins illegal users and legal users such</w:t>
      </w:r>
      <w:r>
        <w:rPr>
          <w:rFonts w:ascii="Times New Roman" w:eastAsia="Times New Roman" w:hAnsi="Times New Roman" w:cs="Times New Roman"/>
          <w:color w:val="000000"/>
          <w:sz w:val="24"/>
          <w:szCs w:val="24"/>
        </w:rPr>
        <w:t xml:space="preserve"> as speculative traders. They find that “Illegal users are estimated to control around 38.21% of Bitcoin addresses and account for one-fifth (20.3%) of the dollar volume of Bitcoin transactions. In dollar terms, illegal users conduct approximately $378 bil</w:t>
      </w:r>
      <w:r>
        <w:rPr>
          <w:rFonts w:ascii="Times New Roman" w:eastAsia="Times New Roman" w:hAnsi="Times New Roman" w:cs="Times New Roman"/>
          <w:color w:val="000000"/>
          <w:sz w:val="24"/>
          <w:szCs w:val="24"/>
        </w:rPr>
        <w:t xml:space="preserve">lion worth of Bitcoin transactions.” Essentially, illegal users control a sizable portion of Bitcoin transactions which constitutes a practical use for Bitcoin and a commercial value. This notion differs from the perspective of Yermack (2013). Also, Foley </w:t>
      </w:r>
      <w:r>
        <w:rPr>
          <w:rFonts w:ascii="Times New Roman" w:eastAsia="Times New Roman" w:hAnsi="Times New Roman" w:cs="Times New Roman"/>
          <w:color w:val="000000"/>
          <w:sz w:val="24"/>
          <w:szCs w:val="24"/>
        </w:rPr>
        <w:t>(2018) finds that the amount of illegal activity varies over time which is suggested to be related to the closure of darknet market places like the SilkRoad, a market place for illicit drugs and services. Further, the rise of media coverage and interest in</w:t>
      </w:r>
      <w:r>
        <w:rPr>
          <w:rFonts w:ascii="Times New Roman" w:eastAsia="Times New Roman" w:hAnsi="Times New Roman" w:cs="Times New Roman"/>
          <w:color w:val="000000"/>
          <w:sz w:val="24"/>
          <w:szCs w:val="24"/>
        </w:rPr>
        <w:t xml:space="preserve"> Bitcoin seem to cause a decline in illicit trade. “The proportion of illegal activity in Bitcoin is inversely related to the </w:t>
      </w:r>
      <w:r w:rsidR="003F3A51">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 xml:space="preserve">oogle search intensity of the keyword Bitcoin.” (Foley 2018) This follows a similar notion that </w:t>
      </w: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color w:val="000000"/>
          <w:sz w:val="24"/>
          <w:szCs w:val="24"/>
        </w:rPr>
        <w:t xml:space="preserve"> (2013) explores where </w:t>
      </w:r>
      <w:r>
        <w:rPr>
          <w:rFonts w:ascii="Times New Roman" w:eastAsia="Times New Roman" w:hAnsi="Times New Roman" w:cs="Times New Roman"/>
          <w:color w:val="000000"/>
          <w:sz w:val="24"/>
          <w:szCs w:val="24"/>
        </w:rPr>
        <w:t xml:space="preserve">Google searches for the word Bitcoin are postulated to be related to speculative trading and influence the price of Bitcoin. </w:t>
      </w:r>
    </w:p>
    <w:p w:rsidR="00FB3918" w:rsidRDefault="0091539E">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color w:val="000000"/>
          <w:sz w:val="24"/>
          <w:szCs w:val="24"/>
        </w:rPr>
        <w:t xml:space="preserve"> (2013) argues that Bitcoin does not have a </w:t>
      </w:r>
      <w:r w:rsidR="003F3A51">
        <w:rPr>
          <w:rFonts w:ascii="Times New Roman" w:eastAsia="Times New Roman" w:hAnsi="Times New Roman" w:cs="Times New Roman"/>
          <w:color w:val="000000"/>
          <w:sz w:val="24"/>
          <w:szCs w:val="24"/>
        </w:rPr>
        <w:t>commercial</w:t>
      </w:r>
      <w:r>
        <w:rPr>
          <w:rFonts w:ascii="Times New Roman" w:eastAsia="Times New Roman" w:hAnsi="Times New Roman" w:cs="Times New Roman"/>
          <w:color w:val="000000"/>
          <w:sz w:val="24"/>
          <w:szCs w:val="24"/>
        </w:rPr>
        <w:t xml:space="preserve"> value or practical use and that investor sentiment should be the </w:t>
      </w:r>
      <w:r>
        <w:rPr>
          <w:rFonts w:ascii="Times New Roman" w:eastAsia="Times New Roman" w:hAnsi="Times New Roman" w:cs="Times New Roman"/>
          <w:color w:val="000000"/>
          <w:sz w:val="24"/>
          <w:szCs w:val="24"/>
        </w:rPr>
        <w:t xml:space="preserve">major driver of the price as the only strategy is to buy and hold in the Bitcoin market. The assumption made is that investor sentiment can be measured </w:t>
      </w:r>
      <w:r>
        <w:rPr>
          <w:rFonts w:ascii="Times New Roman" w:eastAsia="Times New Roman" w:hAnsi="Times New Roman" w:cs="Times New Roman"/>
          <w:color w:val="000000"/>
          <w:sz w:val="24"/>
          <w:szCs w:val="24"/>
        </w:rPr>
        <w:lastRenderedPageBreak/>
        <w:t xml:space="preserve">by internet searches for the word </w:t>
      </w:r>
      <w:r>
        <w:rPr>
          <w:rFonts w:ascii="Times New Roman" w:eastAsia="Times New Roman" w:hAnsi="Times New Roman" w:cs="Times New Roman"/>
          <w:i/>
          <w:iCs/>
          <w:color w:val="000000"/>
          <w:sz w:val="24"/>
          <w:szCs w:val="24"/>
        </w:rPr>
        <w:t xml:space="preserve">Bitcoin. </w:t>
      </w:r>
      <w:r>
        <w:rPr>
          <w:rFonts w:ascii="Times New Roman" w:eastAsia="Times New Roman" w:hAnsi="Times New Roman" w:cs="Times New Roman"/>
          <w:color w:val="000000"/>
          <w:sz w:val="24"/>
          <w:szCs w:val="24"/>
        </w:rPr>
        <w:t xml:space="preserve">Through estimating a VAR model, it is found that </w:t>
      </w:r>
      <w:r w:rsidR="003F3A51">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oogle searc</w:t>
      </w:r>
      <w:r>
        <w:rPr>
          <w:rFonts w:ascii="Times New Roman" w:eastAsia="Times New Roman" w:hAnsi="Times New Roman" w:cs="Times New Roman"/>
          <w:color w:val="000000"/>
          <w:sz w:val="24"/>
          <w:szCs w:val="24"/>
        </w:rPr>
        <w:t>hes cause Bitcoin prices in a bi-directional manner. Moreover, looking at both the bull and bear market situations, he shows that the interest in Bitcoin as measured by Google searches for the wor</w:t>
      </w:r>
      <w:r w:rsidR="003F3A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Bitcoin increases the volatility of the price. (</w:t>
      </w: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color w:val="000000"/>
          <w:sz w:val="24"/>
          <w:szCs w:val="24"/>
        </w:rPr>
        <w:t xml:space="preserve"> 2013)</w:t>
      </w:r>
    </w:p>
    <w:p w:rsidR="00FB3918" w:rsidRDefault="0091539E">
      <w:pPr>
        <w:numPr>
          <w:ilvl w:val="0"/>
          <w:numId w:val="3"/>
        </w:numPr>
        <w:spacing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 Safe-Haven Attribute of Traditional and Untraditional Commodities</w:t>
      </w:r>
    </w:p>
    <w:p w:rsidR="00FB3918" w:rsidRDefault="0091539E">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the insight into the Bitcoin market place, any shocks to Bitcoin should be theoretically uncorrelated to stock market fluctuations being that returns appear to be driven by </w:t>
      </w:r>
      <w:r>
        <w:rPr>
          <w:rFonts w:ascii="Times New Roman" w:eastAsia="Times New Roman" w:hAnsi="Times New Roman" w:cs="Times New Roman"/>
          <w:color w:val="000000"/>
          <w:sz w:val="24"/>
          <w:szCs w:val="24"/>
        </w:rPr>
        <w:t>internet searches which may be a useful property for portfolio managers in risk mitigation. In the breadth of literature on Bitcoin volatility and its hedging capability, the notion of a safe-haven effect comparable to that of gold and other commodities is</w:t>
      </w:r>
      <w:r>
        <w:rPr>
          <w:rFonts w:ascii="Times New Roman" w:eastAsia="Times New Roman" w:hAnsi="Times New Roman" w:cs="Times New Roman"/>
          <w:color w:val="000000"/>
          <w:sz w:val="24"/>
          <w:szCs w:val="24"/>
        </w:rPr>
        <w:t xml:space="preserve"> suggested to explain why Bitcoin volatility appears to be inversely related with the volatility of equities as measured in various forms. The following studies introduce how a commodity can be a safe-haven or a hedge and how Bitcoin is proposed to be a sa</w:t>
      </w:r>
      <w:r>
        <w:rPr>
          <w:rFonts w:ascii="Times New Roman" w:eastAsia="Times New Roman" w:hAnsi="Times New Roman" w:cs="Times New Roman"/>
          <w:color w:val="000000"/>
          <w:sz w:val="24"/>
          <w:szCs w:val="24"/>
        </w:rPr>
        <w:t>fe-haven to various equities.</w:t>
      </w:r>
    </w:p>
    <w:p w:rsidR="00FB3918" w:rsidRDefault="009153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Gold is considered a traditional commodity that has been largely viewed as a safe-haven from equity shocks but Baur and Lucey (2009) explicitly validate this assertion. They define three categories of financial instruments a h</w:t>
      </w:r>
      <w:r>
        <w:rPr>
          <w:rFonts w:ascii="Times New Roman" w:eastAsia="Times New Roman" w:hAnsi="Times New Roman" w:cs="Times New Roman"/>
          <w:sz w:val="24"/>
          <w:szCs w:val="24"/>
        </w:rPr>
        <w:t xml:space="preserve">edge, a </w:t>
      </w:r>
      <w:proofErr w:type="spellStart"/>
      <w:r>
        <w:rPr>
          <w:rFonts w:ascii="Times New Roman" w:eastAsia="Times New Roman" w:hAnsi="Times New Roman" w:cs="Times New Roman"/>
          <w:sz w:val="24"/>
          <w:szCs w:val="24"/>
        </w:rPr>
        <w:t>diversifier</w:t>
      </w:r>
      <w:proofErr w:type="spellEnd"/>
      <w:r>
        <w:rPr>
          <w:rFonts w:ascii="Times New Roman" w:eastAsia="Times New Roman" w:hAnsi="Times New Roman" w:cs="Times New Roman"/>
          <w:sz w:val="24"/>
          <w:szCs w:val="24"/>
        </w:rPr>
        <w:t xml:space="preserve">, and a safe-haven asset. A hedge is an asset that is uncorrelated or negatively correlated with another asset or portfolio on average. A diversifier is defined as an asset that is positively </w:t>
      </w:r>
      <w:r>
        <w:rPr>
          <w:rFonts w:ascii="Times New Roman" w:eastAsia="Times New Roman" w:hAnsi="Times New Roman" w:cs="Times New Roman"/>
          <w:sz w:val="24"/>
          <w:szCs w:val="24"/>
        </w:rPr>
        <w:t>but no</w:t>
      </w:r>
      <w:r w:rsidR="003F3A5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perfectly correlated</w:t>
      </w:r>
      <w:r>
        <w:rPr>
          <w:rFonts w:ascii="Times New Roman" w:eastAsia="Times New Roman" w:hAnsi="Times New Roman" w:cs="Times New Roman"/>
          <w:sz w:val="24"/>
          <w:szCs w:val="24"/>
        </w:rPr>
        <w:t xml:space="preserve"> with another as</w:t>
      </w:r>
      <w:r>
        <w:rPr>
          <w:rFonts w:ascii="Times New Roman" w:eastAsia="Times New Roman" w:hAnsi="Times New Roman" w:cs="Times New Roman"/>
          <w:sz w:val="24"/>
          <w:szCs w:val="24"/>
        </w:rPr>
        <w:t xml:space="preserve">set or portfolio on average. A safe-haven is defined as an asset that is uncorrelated or negatively correlated with another asset or portfolio in times of market stress or turmoil. To test whether gold is considered </w:t>
      </w:r>
      <w:r w:rsidR="003F3A51">
        <w:rPr>
          <w:rFonts w:ascii="Times New Roman" w:eastAsia="Times New Roman" w:hAnsi="Times New Roman" w:cs="Times New Roman"/>
          <w:sz w:val="24"/>
          <w:szCs w:val="24"/>
        </w:rPr>
        <w:t>a part</w:t>
      </w:r>
      <w:r>
        <w:rPr>
          <w:rFonts w:ascii="Times New Roman" w:eastAsia="Times New Roman" w:hAnsi="Times New Roman" w:cs="Times New Roman"/>
          <w:sz w:val="24"/>
          <w:szCs w:val="24"/>
        </w:rPr>
        <w:t xml:space="preserve"> of one of these categories, they c</w:t>
      </w:r>
      <w:r>
        <w:rPr>
          <w:rFonts w:ascii="Times New Roman" w:eastAsia="Times New Roman" w:hAnsi="Times New Roman" w:cs="Times New Roman"/>
          <w:sz w:val="24"/>
          <w:szCs w:val="24"/>
        </w:rPr>
        <w:t xml:space="preserve">onstruct a linear regression outlined in equation (1) where the authors estimate the impact stock returns and bond returns have on gold returns with indicator variables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stock</w:t>
      </w:r>
      <w:proofErr w:type="spellEnd"/>
      <w:r>
        <w:rPr>
          <w:rFonts w:ascii="Times New Roman" w:eastAsia="Times New Roman" w:hAnsi="Times New Roman" w:cs="Times New Roman"/>
          <w:i/>
          <w:sz w:val="24"/>
          <w:szCs w:val="24"/>
          <w:vertAlign w:val="subscript"/>
        </w:rPr>
        <w:t>, t(</w:t>
      </w:r>
      <w:proofErr w:type="gramStart"/>
      <w:r>
        <w:rPr>
          <w:rFonts w:ascii="Times New Roman" w:eastAsia="Times New Roman" w:hAnsi="Times New Roman" w:cs="Times New Roman"/>
          <w:i/>
          <w:sz w:val="24"/>
          <w:szCs w:val="24"/>
          <w:vertAlign w:val="subscript"/>
        </w:rPr>
        <w:t xml:space="preserve">q) </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vertAlign w:val="subscript"/>
        </w:rPr>
        <w:t xml:space="preserve">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stock</w:t>
      </w:r>
      <w:proofErr w:type="spellEnd"/>
      <w:r>
        <w:rPr>
          <w:rFonts w:ascii="Times New Roman" w:eastAsia="Times New Roman" w:hAnsi="Times New Roman" w:cs="Times New Roman"/>
          <w:i/>
          <w:sz w:val="24"/>
          <w:szCs w:val="24"/>
          <w:vertAlign w:val="subscript"/>
        </w:rPr>
        <w:t>, t(q)</w:t>
      </w:r>
      <w:r>
        <w:rPr>
          <w:rFonts w:ascii="Times New Roman" w:eastAsia="Times New Roman" w:hAnsi="Times New Roman" w:cs="Times New Roman"/>
          <w:sz w:val="24"/>
          <w:szCs w:val="24"/>
        </w:rPr>
        <w:t xml:space="preserve">.  </w:t>
      </w:r>
    </w:p>
    <w:p w:rsidR="00FB3918" w:rsidRDefault="0091539E">
      <w:pPr>
        <w:spacing w:line="480" w:lineRule="auto"/>
        <w:rPr>
          <w:rFonts w:ascii="Times New Roman" w:eastAsia="Times New Roman" w:hAnsi="Times New Roman" w:cs="Times New Roman"/>
          <w:sz w:val="24"/>
          <w:szCs w:val="24"/>
        </w:rPr>
      </w:pPr>
      <w:r>
        <w:rPr>
          <w:noProof/>
        </w:rPr>
        <w:lastRenderedPageBreak/>
        <w:drawing>
          <wp:inline distT="0" distB="0" distL="0" distR="0">
            <wp:extent cx="4457700" cy="1857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164" cy="190424"/>
                    </a:xfrm>
                    <a:prstGeom prst="rect">
                      <a:avLst/>
                    </a:prstGeom>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rsidR="00FB3918" w:rsidRDefault="009153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indicator variables are one when the </w:t>
      </w:r>
      <w:r>
        <w:rPr>
          <w:rFonts w:ascii="Times New Roman" w:eastAsia="Times New Roman" w:hAnsi="Times New Roman" w:cs="Times New Roman"/>
          <w:sz w:val="24"/>
          <w:szCs w:val="24"/>
        </w:rPr>
        <w:t>returns of the stock or bond are lower than 1%, 2.5% or 5% quantile. The indicators seek to distinguish when the stock and bond markets are in times of stress or extreme market conditions. For data, daily MSCI stock and bond returns and the U.S. closing sp</w:t>
      </w:r>
      <w:r>
        <w:rPr>
          <w:rFonts w:ascii="Times New Roman" w:eastAsia="Times New Roman" w:hAnsi="Times New Roman" w:cs="Times New Roman"/>
          <w:sz w:val="24"/>
          <w:szCs w:val="24"/>
        </w:rPr>
        <w:t>ot gold returns are used. They assume that gold does not influence stock or bond prices and that the relationship between gold and equities and bond market changes dynamically over time. To allow for variation across time, the authors build a conditional v</w:t>
      </w:r>
      <w:r>
        <w:rPr>
          <w:rFonts w:ascii="Times New Roman" w:eastAsia="Times New Roman" w:hAnsi="Times New Roman" w:cs="Times New Roman"/>
          <w:sz w:val="24"/>
          <w:szCs w:val="24"/>
        </w:rPr>
        <w:t>ariance estimation to model the error term e</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Ultimately, Baur and Lucey (2009) find that gold can be a safe-haven for equities but only for 15 days after an extreme market downswing.</w:t>
      </w:r>
    </w:p>
    <w:p w:rsidR="00FB3918" w:rsidRDefault="0091539E">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Bour</w:t>
      </w:r>
      <w:proofErr w:type="spellEnd"/>
      <w:r>
        <w:rPr>
          <w:rFonts w:ascii="Times New Roman" w:eastAsia="Times New Roman" w:hAnsi="Times New Roman" w:cs="Times New Roman"/>
          <w:sz w:val="24"/>
          <w:szCs w:val="24"/>
        </w:rPr>
        <w:t xml:space="preserve"> (2012) studies the asymmetric volatility in the gold market to </w:t>
      </w:r>
      <w:r w:rsidR="003F3A51">
        <w:rPr>
          <w:rFonts w:ascii="Times New Roman" w:eastAsia="Times New Roman" w:hAnsi="Times New Roman" w:cs="Times New Roman"/>
          <w:sz w:val="24"/>
          <w:szCs w:val="24"/>
        </w:rPr>
        <w:t>further</w:t>
      </w:r>
      <w:r>
        <w:rPr>
          <w:rFonts w:ascii="Times New Roman" w:eastAsia="Times New Roman" w:hAnsi="Times New Roman" w:cs="Times New Roman"/>
          <w:sz w:val="24"/>
          <w:szCs w:val="24"/>
        </w:rPr>
        <w:t xml:space="preserve"> analyze if gold adequately acts as a safe-haven in times of turmoil. Asymmetric volatility models typically measure how volatility changes with respect </w:t>
      </w:r>
      <w:r w:rsidR="00E558F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positive or negative innovations in the first moment. In the context of equities, these models evalu</w:t>
      </w:r>
      <w:r>
        <w:rPr>
          <w:rFonts w:ascii="Times New Roman" w:eastAsia="Times New Roman" w:hAnsi="Times New Roman" w:cs="Times New Roman"/>
          <w:sz w:val="24"/>
          <w:szCs w:val="24"/>
        </w:rPr>
        <w:t>ate how the volatility for the returns of a stock change when the return is negative or positive – essentially measuring the effect of bad news and good news on volatility. In the literature, the presence of volatility asymmetry for equities is well docume</w:t>
      </w:r>
      <w:r>
        <w:rPr>
          <w:rFonts w:ascii="Times New Roman" w:eastAsia="Times New Roman" w:hAnsi="Times New Roman" w:cs="Times New Roman"/>
          <w:sz w:val="24"/>
          <w:szCs w:val="24"/>
        </w:rPr>
        <w:t>nted, and many authors find that volatility increases as negative returns increase. Several explanations are given for this phenomenon: one is coined the leverage effect and the second is called volatility feedback effect. Black (1976) explains the leverag</w:t>
      </w:r>
      <w:r>
        <w:rPr>
          <w:rFonts w:ascii="Times New Roman" w:eastAsia="Times New Roman" w:hAnsi="Times New Roman" w:cs="Times New Roman"/>
          <w:sz w:val="24"/>
          <w:szCs w:val="24"/>
        </w:rPr>
        <w:t xml:space="preserve">e effect as when a firm realizes a decrease in </w:t>
      </w:r>
      <w:r w:rsidR="003F3A51">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stock price</w:t>
      </w:r>
      <w:r w:rsidR="003F3A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F3A51">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capital structure changes and volatility </w:t>
      </w:r>
      <w:r w:rsidR="003F3A51">
        <w:rPr>
          <w:rFonts w:ascii="Times New Roman" w:eastAsia="Times New Roman" w:hAnsi="Times New Roman" w:cs="Times New Roman"/>
          <w:sz w:val="24"/>
          <w:szCs w:val="24"/>
        </w:rPr>
        <w:t>increase</w:t>
      </w:r>
      <w:r>
        <w:rPr>
          <w:rFonts w:ascii="Times New Roman" w:eastAsia="Times New Roman" w:hAnsi="Times New Roman" w:cs="Times New Roman"/>
          <w:sz w:val="24"/>
          <w:szCs w:val="24"/>
        </w:rPr>
        <w:t>. Campbell (1992) conjectures that when any major news good or bad breaks on the market volatility increases and when volatility increa</w:t>
      </w:r>
      <w:r>
        <w:rPr>
          <w:rFonts w:ascii="Times New Roman" w:eastAsia="Times New Roman" w:hAnsi="Times New Roman" w:cs="Times New Roman"/>
          <w:sz w:val="24"/>
          <w:szCs w:val="24"/>
        </w:rPr>
        <w:t xml:space="preserve">ses the price of the stock decrease. Understanding this, </w:t>
      </w:r>
      <w:proofErr w:type="spellStart"/>
      <w:r>
        <w:rPr>
          <w:rFonts w:ascii="Times New Roman" w:eastAsia="Times New Roman" w:hAnsi="Times New Roman" w:cs="Times New Roman"/>
          <w:sz w:val="24"/>
          <w:szCs w:val="24"/>
        </w:rPr>
        <w:t>Bour</w:t>
      </w:r>
      <w:proofErr w:type="spellEnd"/>
      <w:r>
        <w:rPr>
          <w:rFonts w:ascii="Times New Roman" w:eastAsia="Times New Roman" w:hAnsi="Times New Roman" w:cs="Times New Roman"/>
          <w:sz w:val="24"/>
          <w:szCs w:val="24"/>
        </w:rPr>
        <w:t xml:space="preserve"> (2012) models an asymmetric GARCH model to see how gold behaves </w:t>
      </w:r>
      <w:r w:rsidR="00D015CC">
        <w:rPr>
          <w:rFonts w:ascii="Times New Roman" w:eastAsia="Times New Roman" w:hAnsi="Times New Roman" w:cs="Times New Roman"/>
          <w:sz w:val="24"/>
          <w:szCs w:val="24"/>
        </w:rPr>
        <w:t>in the</w:t>
      </w:r>
      <w:r>
        <w:rPr>
          <w:rFonts w:ascii="Times New Roman" w:eastAsia="Times New Roman" w:hAnsi="Times New Roman" w:cs="Times New Roman"/>
          <w:sz w:val="24"/>
          <w:szCs w:val="24"/>
        </w:rPr>
        <w:t xml:space="preserve"> asymmetric return-volatility relationship observed in the equities markets. </w:t>
      </w:r>
      <w:proofErr w:type="spellStart"/>
      <w:r>
        <w:rPr>
          <w:rFonts w:ascii="Times New Roman" w:eastAsia="Times New Roman" w:hAnsi="Times New Roman" w:cs="Times New Roman"/>
          <w:sz w:val="24"/>
          <w:szCs w:val="24"/>
        </w:rPr>
        <w:t>Bour</w:t>
      </w:r>
      <w:proofErr w:type="spellEnd"/>
      <w:r>
        <w:rPr>
          <w:rFonts w:ascii="Times New Roman" w:eastAsia="Times New Roman" w:hAnsi="Times New Roman" w:cs="Times New Roman"/>
          <w:sz w:val="24"/>
          <w:szCs w:val="24"/>
        </w:rPr>
        <w:t xml:space="preserve"> finds that </w:t>
      </w:r>
      <w:r>
        <w:rPr>
          <w:rFonts w:ascii="Times New Roman" w:eastAsia="Times New Roman" w:hAnsi="Times New Roman" w:cs="Times New Roman"/>
          <w:sz w:val="24"/>
          <w:szCs w:val="24"/>
        </w:rPr>
        <w:lastRenderedPageBreak/>
        <w:t>there is an inverted as</w:t>
      </w:r>
      <w:r>
        <w:rPr>
          <w:rFonts w:ascii="Times New Roman" w:eastAsia="Times New Roman" w:hAnsi="Times New Roman" w:cs="Times New Roman"/>
          <w:sz w:val="24"/>
          <w:szCs w:val="24"/>
        </w:rPr>
        <w:t xml:space="preserve">ymmetric relationship between gold returns and volatility which asserts that when gold returns are low, volatility is low and when gold returns are high, volatility is high. </w:t>
      </w:r>
    </w:p>
    <w:p w:rsidR="00FB3918" w:rsidRDefault="0091539E">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Bitcoin has recently been declared a commodity, several recent papers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examine </w:t>
      </w:r>
      <w:r>
        <w:rPr>
          <w:rFonts w:ascii="Times New Roman" w:eastAsia="Times New Roman" w:hAnsi="Times New Roman" w:cs="Times New Roman"/>
          <w:color w:val="000000"/>
          <w:sz w:val="24"/>
          <w:szCs w:val="24"/>
        </w:rPr>
        <w:t>the safe-haven effect and ability of Bitcoin to hedge market volatility. Corbet (2017) analyzes the return and volatility transfer across three major crypto currencies and other financial assets such as gold, bonds, equities, and the global volatility inde</w:t>
      </w:r>
      <w:r>
        <w:rPr>
          <w:rFonts w:ascii="Times New Roman" w:eastAsia="Times New Roman" w:hAnsi="Times New Roman" w:cs="Times New Roman"/>
          <w:color w:val="000000"/>
          <w:sz w:val="24"/>
          <w:szCs w:val="24"/>
        </w:rPr>
        <w:t>x. He finds that cryptocurrencies are unrelated to market shocks and can be an effective tool in risk management. Several methods are employed to reach this conclusion. The author utilizes a generalized variance decomposition as used in Diebold (2012) whic</w:t>
      </w:r>
      <w:r>
        <w:rPr>
          <w:rFonts w:ascii="Times New Roman" w:eastAsia="Times New Roman" w:hAnsi="Times New Roman" w:cs="Times New Roman"/>
          <w:color w:val="000000"/>
          <w:sz w:val="24"/>
          <w:szCs w:val="24"/>
        </w:rPr>
        <w:t>h measures the direction and intensity of spillovers effects across markets through several metrics such as Total Spillover Index and Net Spillover Index.  To measure intensity, a unique metric introduced by Diebold called the Total Spillover index estimat</w:t>
      </w:r>
      <w:r>
        <w:rPr>
          <w:rFonts w:ascii="Times New Roman" w:eastAsia="Times New Roman" w:hAnsi="Times New Roman" w:cs="Times New Roman"/>
          <w:color w:val="000000"/>
          <w:sz w:val="24"/>
          <w:szCs w:val="24"/>
        </w:rPr>
        <w:t>es the volatility spillover from market to market. Another metric introduced by Diebold to analyze the direction of the spillover effect is the Net Spillover Index which measures the total shocks transmitted from any market to the receiving market minus th</w:t>
      </w:r>
      <w:r>
        <w:rPr>
          <w:rFonts w:ascii="Times New Roman" w:eastAsia="Times New Roman" w:hAnsi="Times New Roman" w:cs="Times New Roman"/>
          <w:color w:val="000000"/>
          <w:sz w:val="24"/>
          <w:szCs w:val="24"/>
        </w:rPr>
        <w:t>e shocks transmitted back from the receiving market to the</w:t>
      </w:r>
      <w:r w:rsidR="00D015CC">
        <w:rPr>
          <w:rFonts w:ascii="Times New Roman" w:eastAsia="Times New Roman" w:hAnsi="Times New Roman" w:cs="Times New Roman"/>
          <w:color w:val="000000"/>
          <w:sz w:val="24"/>
          <w:szCs w:val="24"/>
        </w:rPr>
        <w:t xml:space="preserve"> original</w:t>
      </w:r>
      <w:r>
        <w:rPr>
          <w:rFonts w:ascii="Times New Roman" w:eastAsia="Times New Roman" w:hAnsi="Times New Roman" w:cs="Times New Roman"/>
          <w:color w:val="000000"/>
          <w:sz w:val="24"/>
          <w:szCs w:val="24"/>
        </w:rPr>
        <w:t xml:space="preserve"> market. Second, a multivariate GARCH model is further used for robustness </w:t>
      </w:r>
      <w:r w:rsidR="00D015CC">
        <w:rPr>
          <w:rFonts w:ascii="Times New Roman" w:eastAsia="Times New Roman" w:hAnsi="Times New Roman" w:cs="Times New Roman"/>
          <w:color w:val="000000"/>
          <w:sz w:val="24"/>
          <w:szCs w:val="24"/>
        </w:rPr>
        <w:t>because</w:t>
      </w:r>
      <w:r>
        <w:rPr>
          <w:rFonts w:ascii="Times New Roman" w:eastAsia="Times New Roman" w:hAnsi="Times New Roman" w:cs="Times New Roman"/>
          <w:color w:val="000000"/>
          <w:sz w:val="24"/>
          <w:szCs w:val="24"/>
        </w:rPr>
        <w:t xml:space="preserve"> the volatility of returns across markets vary over time.  He uses a DCC-MVGARCH model to analyze the relationships b</w:t>
      </w:r>
      <w:r>
        <w:rPr>
          <w:rFonts w:ascii="Times New Roman" w:eastAsia="Times New Roman" w:hAnsi="Times New Roman" w:cs="Times New Roman"/>
          <w:color w:val="000000"/>
          <w:sz w:val="24"/>
          <w:szCs w:val="24"/>
        </w:rPr>
        <w:t>etween the different cryptocurrencies considering structural breaks due to large-scale hackings of exchanges like the hacking of MT. GOX, the closure of the Silk Road. Ultimately, they find that the cryptocurrencies are interconnected and that “our researc</w:t>
      </w:r>
      <w:r>
        <w:rPr>
          <w:rFonts w:ascii="Times New Roman" w:eastAsia="Times New Roman" w:hAnsi="Times New Roman" w:cs="Times New Roman"/>
          <w:color w:val="000000"/>
          <w:sz w:val="24"/>
          <w:szCs w:val="24"/>
        </w:rPr>
        <w:t>h has indicated there is a role for cryptocurrencies in an investor portfolio but that their structure and behavior also indicate the cryptocurrency market contains its own idiosyncratic risks that are difficult to hedge against.” (Corbet 2017)</w:t>
      </w:r>
    </w:p>
    <w:p w:rsidR="00FB3918" w:rsidRDefault="0091539E">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lastRenderedPageBreak/>
        <w:t>Bouri</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Azz</w:t>
      </w:r>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(2016) </w:t>
      </w:r>
      <w:r w:rsidR="00D015CC">
        <w:rPr>
          <w:rFonts w:ascii="Times New Roman" w:eastAsia="Times New Roman" w:hAnsi="Times New Roman" w:cs="Times New Roman"/>
          <w:color w:val="000000"/>
          <w:sz w:val="24"/>
          <w:szCs w:val="24"/>
        </w:rPr>
        <w:t xml:space="preserve">perform a similar study however they </w:t>
      </w:r>
      <w:r>
        <w:rPr>
          <w:rFonts w:ascii="Times New Roman" w:eastAsia="Times New Roman" w:hAnsi="Times New Roman" w:cs="Times New Roman"/>
          <w:color w:val="000000"/>
          <w:sz w:val="24"/>
          <w:szCs w:val="24"/>
        </w:rPr>
        <w:t xml:space="preserve">focus on how the relationship between Bitcoin returns and the volatility of Bitcoin has changed after the large Bitcoin price crash in 2013. To estimate this relationship, they use an asymmetric GARCH model that measures one, the </w:t>
      </w:r>
      <w:r>
        <w:rPr>
          <w:rFonts w:ascii="Times New Roman" w:eastAsia="Times New Roman" w:hAnsi="Times New Roman" w:cs="Times New Roman"/>
          <w:color w:val="000000"/>
          <w:sz w:val="24"/>
          <w:szCs w:val="24"/>
        </w:rPr>
        <w:t>volatility in Bitcoin prices and two, how the volatility changes with the direction of shocks to the series. Estimation for this model relies on the maximum likelihood method. After finding that there is no statistical evidence that either direction of sho</w:t>
      </w:r>
      <w:r>
        <w:rPr>
          <w:rFonts w:ascii="Times New Roman" w:eastAsia="Times New Roman" w:hAnsi="Times New Roman" w:cs="Times New Roman"/>
          <w:color w:val="000000"/>
          <w:sz w:val="24"/>
          <w:szCs w:val="24"/>
        </w:rPr>
        <w:t>cks has a larger magnitude over the other, they break the series into two pieces: before and after the price shock of 2013. According to their model, the return-volatility asymmetry coefficient is negative before 2013 and not statistically significant afte</w:t>
      </w:r>
      <w:r>
        <w:rPr>
          <w:rFonts w:ascii="Times New Roman" w:eastAsia="Times New Roman" w:hAnsi="Times New Roman" w:cs="Times New Roman"/>
          <w:color w:val="000000"/>
          <w:sz w:val="24"/>
          <w:szCs w:val="24"/>
        </w:rPr>
        <w:t xml:space="preserve">r 2013. To interpret this, </w:t>
      </w: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Azzi</w:t>
      </w:r>
      <w:proofErr w:type="spellEnd"/>
      <w:r>
        <w:rPr>
          <w:rFonts w:ascii="Times New Roman" w:eastAsia="Times New Roman" w:hAnsi="Times New Roman" w:cs="Times New Roman"/>
          <w:color w:val="000000"/>
          <w:sz w:val="24"/>
          <w:szCs w:val="24"/>
        </w:rPr>
        <w:t xml:space="preserve"> (2016</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state: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4"/>
          <w:szCs w:val="24"/>
        </w:rPr>
        <w:t>If Bitcoin prices increase in periods of economic/financial turmoil, during which stock markets fall, investors purchase Bitcoin and transmit the increased uncertainty and volatility of the stock marke</w:t>
      </w:r>
      <w:r>
        <w:rPr>
          <w:rFonts w:ascii="Times New Roman" w:eastAsia="Times New Roman" w:hAnsi="Times New Roman" w:cs="Times New Roman"/>
          <w:color w:val="000000"/>
          <w:sz w:val="24"/>
          <w:szCs w:val="24"/>
        </w:rPr>
        <w:t>ts to the Bitcoin market.”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To compare to equities, the same methods are employed to find the return-volatility relationship in the S&amp;P 500 index. Showing that the asymmetric return-volatility relationship is positive and statistically significant, they ind</w:t>
      </w:r>
      <w:r>
        <w:rPr>
          <w:rFonts w:ascii="Times New Roman" w:eastAsia="Times New Roman" w:hAnsi="Times New Roman" w:cs="Times New Roman"/>
          <w:color w:val="000000"/>
          <w:sz w:val="24"/>
          <w:szCs w:val="24"/>
        </w:rPr>
        <w:t>icate that negative return shocks tend to signal stronger volatility which is the opposite of Bitcoin’s relationship. Further, with the information regarding Bitcoin’s return-volatility relationship to the S&amp;P500 index, a portfolio of constructed of Bitcoi</w:t>
      </w:r>
      <w:r>
        <w:rPr>
          <w:rFonts w:ascii="Times New Roman" w:eastAsia="Times New Roman" w:hAnsi="Times New Roman" w:cs="Times New Roman"/>
          <w:color w:val="000000"/>
          <w:sz w:val="24"/>
          <w:szCs w:val="24"/>
        </w:rPr>
        <w:t>n and the index is calculated. Ultimately, the portfolio achieves a lower risk for the same return with the addition of Bitcoin. (</w:t>
      </w: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2016)</w:t>
      </w:r>
    </w:p>
    <w:p w:rsidR="00FB3918" w:rsidRDefault="009153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Corbet (2017) and </w:t>
      </w:r>
      <w:proofErr w:type="spellStart"/>
      <w:r>
        <w:rPr>
          <w:rFonts w:ascii="Times New Roman" w:eastAsia="Times New Roman" w:hAnsi="Times New Roman" w:cs="Times New Roman"/>
          <w:sz w:val="24"/>
          <w:szCs w:val="24"/>
        </w:rPr>
        <w:t>Bouri</w:t>
      </w:r>
      <w:proofErr w:type="spellEnd"/>
      <w:r>
        <w:rPr>
          <w:rFonts w:ascii="Times New Roman" w:eastAsia="Times New Roman" w:hAnsi="Times New Roman" w:cs="Times New Roman"/>
          <w:sz w:val="24"/>
          <w:szCs w:val="24"/>
        </w:rPr>
        <w:t xml:space="preserve"> (2016), this study conducts an analysis on the return-volatility relationship in Bitc</w:t>
      </w:r>
      <w:r>
        <w:rPr>
          <w:rFonts w:ascii="Times New Roman" w:eastAsia="Times New Roman" w:hAnsi="Times New Roman" w:cs="Times New Roman"/>
          <w:sz w:val="24"/>
          <w:szCs w:val="24"/>
        </w:rPr>
        <w:t>oin futures and compares the Bitcoin futures returns volatility to the US equities volatility index.</w:t>
      </w:r>
    </w:p>
    <w:p w:rsidR="00FB3918" w:rsidRDefault="00FB3918">
      <w:pPr>
        <w:spacing w:line="480" w:lineRule="auto"/>
        <w:ind w:firstLine="720"/>
        <w:rPr>
          <w:rFonts w:ascii="Times New Roman" w:eastAsia="Times New Roman" w:hAnsi="Times New Roman" w:cs="Times New Roman"/>
          <w:sz w:val="24"/>
          <w:szCs w:val="24"/>
        </w:rPr>
      </w:pPr>
    </w:p>
    <w:p w:rsidR="00FB3918" w:rsidRDefault="0091539E">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Data </w:t>
      </w:r>
    </w:p>
    <w:p w:rsidR="00FB3918" w:rsidRDefault="0091539E">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 this section, the data series used in this study are described. All series are observations of daily closing prices from December 12</w:t>
      </w:r>
      <w:r>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2017 to May 2</w:t>
      </w:r>
      <w:r>
        <w:rPr>
          <w:rFonts w:ascii="Times New Roman" w:eastAsia="Times New Roman" w:hAnsi="Times New Roman" w:cs="Times New Roman"/>
          <w:bCs/>
          <w:color w:val="000000"/>
          <w:sz w:val="24"/>
          <w:szCs w:val="24"/>
          <w:vertAlign w:val="superscript"/>
        </w:rPr>
        <w:t>nd</w:t>
      </w:r>
      <w:r>
        <w:rPr>
          <w:rFonts w:ascii="Times New Roman" w:eastAsia="Times New Roman" w:hAnsi="Times New Roman" w:cs="Times New Roman"/>
          <w:bCs/>
          <w:color w:val="000000"/>
          <w:sz w:val="24"/>
          <w:szCs w:val="24"/>
        </w:rPr>
        <w:t xml:space="preserve"> 2018 for a total of 97 observations and have been differenced. Summary statistics and a correlation matrix are represented in Table 1 and Table 2 in the appendix. </w:t>
      </w:r>
    </w:p>
    <w:p w:rsidR="00FB3918" w:rsidRDefault="0091539E">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Bitcoin futures prices are taken from daily historical closing prices liste</w:t>
      </w:r>
      <w:r>
        <w:rPr>
          <w:rFonts w:ascii="Times New Roman" w:eastAsia="Times New Roman" w:hAnsi="Times New Roman" w:cs="Times New Roman"/>
          <w:bCs/>
          <w:color w:val="000000"/>
          <w:sz w:val="24"/>
          <w:szCs w:val="24"/>
        </w:rPr>
        <w:t>d on the CBOE website for each monthly Bitcoin Future contract. These prices represent the closing price as of 4:00pm EST and are only published on weekdays during market hours. As the futures settle monthly, a price index is constructed to represent a con</w:t>
      </w:r>
      <w:r>
        <w:rPr>
          <w:rFonts w:ascii="Times New Roman" w:eastAsia="Times New Roman" w:hAnsi="Times New Roman" w:cs="Times New Roman"/>
          <w:bCs/>
          <w:color w:val="000000"/>
          <w:sz w:val="24"/>
          <w:szCs w:val="24"/>
        </w:rPr>
        <w:t xml:space="preserve">tinuous price of the futures by taking the price of the contract closest to the most recent settlement date. The futures contracts are linked to the underlying price of Bitcoin as determined in the </w:t>
      </w:r>
      <w:proofErr w:type="spellStart"/>
      <w:r>
        <w:rPr>
          <w:rFonts w:ascii="Times New Roman" w:eastAsia="Times New Roman" w:hAnsi="Times New Roman" w:cs="Times New Roman"/>
          <w:bCs/>
          <w:color w:val="000000"/>
          <w:sz w:val="24"/>
          <w:szCs w:val="24"/>
        </w:rPr>
        <w:t>Gemni</w:t>
      </w:r>
      <w:proofErr w:type="spellEnd"/>
      <w:r>
        <w:rPr>
          <w:rFonts w:ascii="Times New Roman" w:eastAsia="Times New Roman" w:hAnsi="Times New Roman" w:cs="Times New Roman"/>
          <w:bCs/>
          <w:color w:val="000000"/>
          <w:sz w:val="24"/>
          <w:szCs w:val="24"/>
        </w:rPr>
        <w:t xml:space="preserve"> exchange. </w:t>
      </w:r>
    </w:p>
    <w:p w:rsidR="00FB3918" w:rsidRDefault="0091539E">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As used by other authors, Bitcoin closing</w:t>
      </w:r>
      <w:r>
        <w:rPr>
          <w:rFonts w:ascii="Times New Roman" w:eastAsia="Times New Roman" w:hAnsi="Times New Roman" w:cs="Times New Roman"/>
          <w:bCs/>
          <w:color w:val="000000"/>
          <w:sz w:val="24"/>
          <w:szCs w:val="24"/>
        </w:rPr>
        <w:t xml:space="preserve"> prices come from CoinDesk</w:t>
      </w:r>
      <w:r w:rsidR="00D015CC">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an index for the price of </w:t>
      </w:r>
      <w:r w:rsidR="00D015CC">
        <w:rPr>
          <w:rFonts w:ascii="Times New Roman" w:eastAsia="Times New Roman" w:hAnsi="Times New Roman" w:cs="Times New Roman"/>
          <w:bCs/>
          <w:color w:val="000000"/>
          <w:sz w:val="24"/>
          <w:szCs w:val="24"/>
        </w:rPr>
        <w:t>B</w:t>
      </w:r>
      <w:r>
        <w:rPr>
          <w:rFonts w:ascii="Times New Roman" w:eastAsia="Times New Roman" w:hAnsi="Times New Roman" w:cs="Times New Roman"/>
          <w:bCs/>
          <w:color w:val="000000"/>
          <w:sz w:val="24"/>
          <w:szCs w:val="24"/>
        </w:rPr>
        <w:t xml:space="preserve">itcoin. It tracks a simple average of the four major Bitcoin exchanges: </w:t>
      </w:r>
      <w:proofErr w:type="spellStart"/>
      <w:r>
        <w:rPr>
          <w:rFonts w:ascii="Times New Roman" w:eastAsia="Times New Roman" w:hAnsi="Times New Roman" w:cs="Times New Roman"/>
          <w:bCs/>
          <w:color w:val="000000"/>
          <w:sz w:val="24"/>
          <w:szCs w:val="24"/>
        </w:rPr>
        <w:t>Bitstamp</w:t>
      </w:r>
      <w:proofErr w:type="spellEnd"/>
      <w:r>
        <w:rPr>
          <w:rFonts w:ascii="Times New Roman" w:eastAsia="Times New Roman" w:hAnsi="Times New Roman" w:cs="Times New Roman"/>
          <w:bCs/>
          <w:color w:val="000000"/>
          <w:sz w:val="24"/>
          <w:szCs w:val="24"/>
        </w:rPr>
        <w:t xml:space="preserve">, Coinbase, </w:t>
      </w:r>
      <w:proofErr w:type="spellStart"/>
      <w:r>
        <w:rPr>
          <w:rFonts w:ascii="Times New Roman" w:eastAsia="Times New Roman" w:hAnsi="Times New Roman" w:cs="Times New Roman"/>
          <w:bCs/>
          <w:color w:val="000000"/>
          <w:sz w:val="24"/>
          <w:szCs w:val="24"/>
        </w:rPr>
        <w:t>itBit</w:t>
      </w:r>
      <w:proofErr w:type="spellEnd"/>
      <w:r>
        <w:rPr>
          <w:rFonts w:ascii="Times New Roman" w:eastAsia="Times New Roman" w:hAnsi="Times New Roman" w:cs="Times New Roman"/>
          <w:bCs/>
          <w:color w:val="000000"/>
          <w:sz w:val="24"/>
          <w:szCs w:val="24"/>
        </w:rPr>
        <w:t xml:space="preserve"> and </w:t>
      </w:r>
      <w:proofErr w:type="spellStart"/>
      <w:r>
        <w:rPr>
          <w:rFonts w:ascii="Times New Roman" w:eastAsia="Times New Roman" w:hAnsi="Times New Roman" w:cs="Times New Roman"/>
          <w:bCs/>
          <w:color w:val="000000"/>
          <w:sz w:val="24"/>
          <w:szCs w:val="24"/>
        </w:rPr>
        <w:t>Bitfinex</w:t>
      </w:r>
      <w:proofErr w:type="spellEnd"/>
      <w:r>
        <w:rPr>
          <w:rFonts w:ascii="Times New Roman" w:eastAsia="Times New Roman" w:hAnsi="Times New Roman" w:cs="Times New Roman"/>
          <w:bCs/>
          <w:color w:val="000000"/>
          <w:sz w:val="24"/>
          <w:szCs w:val="24"/>
        </w:rPr>
        <w:t xml:space="preserve">. </w:t>
      </w:r>
    </w:p>
    <w:p w:rsidR="00FB3918" w:rsidRDefault="0091539E">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S&amp;P 500 index close price is taken from yahoo finance’s API and differenced to repres</w:t>
      </w:r>
      <w:r>
        <w:rPr>
          <w:rFonts w:ascii="Times New Roman" w:eastAsia="Times New Roman" w:hAnsi="Times New Roman" w:cs="Times New Roman"/>
          <w:bCs/>
          <w:color w:val="000000"/>
          <w:sz w:val="24"/>
          <w:szCs w:val="24"/>
        </w:rPr>
        <w:t>ent daily returns. Similarly, the US VIX daily closing values are also taken from yahoo finance’s API.</w:t>
      </w:r>
    </w:p>
    <w:p w:rsidR="00FB3918" w:rsidRDefault="0091539E">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Google search trends for the word Bitcoin are taken from Google’s explore website. The data are normalized to represent the percentage to the highest sea</w:t>
      </w:r>
      <w:r>
        <w:rPr>
          <w:rFonts w:ascii="Times New Roman" w:eastAsia="Times New Roman" w:hAnsi="Times New Roman" w:cs="Times New Roman"/>
          <w:bCs/>
          <w:color w:val="000000"/>
          <w:sz w:val="24"/>
          <w:szCs w:val="24"/>
        </w:rPr>
        <w:t>rched day. This series is differenced to represent the change in daily searches.</w:t>
      </w:r>
    </w:p>
    <w:p w:rsidR="00FB3918" w:rsidRDefault="0091539E">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Gold returns are proxied by the SPDR gold shares ETF returns. Shares of this ETF represent a fractional, undivided interest in gold bullion held by the SPDR Gold Trust.</w:t>
      </w:r>
    </w:p>
    <w:p w:rsidR="00FB3918" w:rsidRDefault="00FB3918">
      <w:pPr>
        <w:spacing w:line="480" w:lineRule="auto"/>
        <w:ind w:firstLine="360"/>
        <w:textAlignment w:val="baseline"/>
        <w:rPr>
          <w:rFonts w:ascii="Times New Roman" w:eastAsia="Times New Roman" w:hAnsi="Times New Roman" w:cs="Times New Roman"/>
          <w:bCs/>
          <w:color w:val="000000"/>
          <w:sz w:val="24"/>
          <w:szCs w:val="24"/>
        </w:rPr>
      </w:pPr>
    </w:p>
    <w:p w:rsidR="00FB3918" w:rsidRDefault="0091539E">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Metho</w:t>
      </w:r>
      <w:r>
        <w:rPr>
          <w:rFonts w:ascii="Times New Roman" w:eastAsia="Times New Roman" w:hAnsi="Times New Roman" w:cs="Times New Roman"/>
          <w:b/>
          <w:bCs/>
          <w:color w:val="000000"/>
          <w:sz w:val="24"/>
          <w:szCs w:val="24"/>
        </w:rPr>
        <w:t xml:space="preserve">ds </w:t>
      </w:r>
    </w:p>
    <w:p w:rsidR="00FB3918" w:rsidRDefault="0091539E">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As prior authors have used, this study models an asymmetric GARCH model to evaluate the relationship between the returns of Bitcoin Futures and their volatility. </w:t>
      </w:r>
    </w:p>
    <w:p w:rsidR="00FB3918" w:rsidRDefault="0091539E">
      <w:pPr>
        <w:spacing w:line="240" w:lineRule="auto"/>
        <w:textAlignment w:val="baseline"/>
        <w:rPr>
          <w:rFonts w:ascii="Times New Roman" w:eastAsia="Times New Roman" w:hAnsi="Times New Roman" w:cs="Times New Roman"/>
          <w:b/>
          <w:bCs/>
          <w:i/>
          <w:color w:val="000000"/>
          <w:szCs w:val="24"/>
          <w:u w:val="single"/>
        </w:rPr>
      </w:pPr>
      <w:r>
        <w:rPr>
          <w:rFonts w:ascii="Times New Roman" w:eastAsia="Times New Roman" w:hAnsi="Times New Roman" w:cs="Times New Roman"/>
          <w:b/>
          <w:bCs/>
          <w:i/>
          <w:color w:val="000000"/>
          <w:szCs w:val="24"/>
          <w:u w:val="single"/>
        </w:rPr>
        <w:t>Asymmetric GARCH Model</w:t>
      </w:r>
    </w:p>
    <w:p w:rsidR="00FB3918" w:rsidRDefault="0091539E">
      <w:pPr>
        <w:spacing w:line="240" w:lineRule="auto"/>
        <w:textAlignment w:val="baseline"/>
        <w:rPr>
          <w:bCs/>
          <w:color w:val="000000"/>
        </w:rPr>
      </w:pPr>
      <m:oMathPara>
        <m:oMathParaPr>
          <m:jc m:val="centerGroup"/>
        </m:oMathParaPr>
        <m:oMath>
          <m:r>
            <w:rPr>
              <w:rFonts w:ascii="Cambria Math" w:eastAsia="Times New Roman" w:hAnsi="Cambria Math"/>
              <w:color w:val="000000"/>
            </w:rPr>
            <m:t>FuturesReturns</m:t>
          </m:r>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d>
            <m:dPr>
              <m:ctrlPr>
                <w:rPr>
                  <w:rFonts w:ascii="Cambria Math" w:hAnsi="Cambria Math"/>
                  <w:bCs/>
                  <w:i/>
                  <w:iCs/>
                  <w:color w:val="000000"/>
                </w:rPr>
              </m:ctrlPr>
            </m:dPr>
            <m:e>
              <m:r>
                <w:rPr>
                  <w:rFonts w:ascii="Cambria Math" w:eastAsia="Times New Roman" w:hAnsi="Cambria Math"/>
                  <w:color w:val="000000"/>
                </w:rPr>
                <m:t>GoldReturns</m:t>
              </m:r>
            </m:e>
          </m:d>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2</m:t>
              </m:r>
            </m:sub>
          </m:sSub>
          <m:d>
            <m:dPr>
              <m:ctrlPr>
                <w:rPr>
                  <w:rFonts w:ascii="Cambria Math" w:hAnsi="Cambria Math"/>
                  <w:bCs/>
                  <w:i/>
                  <w:iCs/>
                  <w:color w:val="000000"/>
                </w:rPr>
              </m:ctrlPr>
            </m:dPr>
            <m:e>
              <m:r>
                <w:rPr>
                  <w:rFonts w:ascii="Cambria Math" w:eastAsia="Times New Roman" w:hAnsi="Cambria Math"/>
                  <w:color w:val="000000"/>
                </w:rPr>
                <m:t>S</m:t>
              </m:r>
              <m:r>
                <w:rPr>
                  <w:rFonts w:ascii="Cambria Math" w:eastAsia="Times New Roman" w:hAnsi="Cambria Math"/>
                  <w:color w:val="000000"/>
                </w:rPr>
                <m:t>&amp;</m:t>
              </m:r>
              <m:r>
                <w:rPr>
                  <w:rFonts w:ascii="Cambria Math" w:eastAsia="Times New Roman" w:hAnsi="Cambria Math"/>
                  <w:color w:val="000000"/>
                </w:rPr>
                <m:t>P</m:t>
              </m:r>
              <m:r>
                <w:rPr>
                  <w:rFonts w:ascii="Cambria Math" w:eastAsia="Times New Roman" w:hAnsi="Cambria Math"/>
                  <w:color w:val="000000"/>
                </w:rPr>
                <m:t xml:space="preserve">500 </m:t>
              </m:r>
              <m:r>
                <w:rPr>
                  <w:rFonts w:ascii="Cambria Math" w:eastAsia="Times New Roman" w:hAnsi="Cambria Math"/>
                  <w:color w:val="000000"/>
                </w:rPr>
                <m:t>Returns</m:t>
              </m:r>
            </m:e>
          </m:d>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3</m:t>
              </m:r>
            </m:sub>
          </m:sSub>
          <m:r>
            <w:rPr>
              <w:rFonts w:ascii="Cambria Math" w:eastAsia="Times New Roman" w:hAnsi="Cambria Math"/>
              <w:color w:val="000000"/>
            </w:rPr>
            <m:t>(</m:t>
          </m:r>
          <m:r>
            <w:rPr>
              <w:rFonts w:ascii="Cambria Math" w:eastAsia="Times New Roman" w:hAnsi="Cambria Math"/>
              <w:color w:val="000000"/>
            </w:rPr>
            <m:t>ΔGoogTrends</m:t>
          </m:r>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FB3918" w:rsidRDefault="0091539E">
      <w:pPr>
        <w:spacing w:line="240" w:lineRule="auto"/>
        <w:textAlignment w:val="baseline"/>
        <w:rPr>
          <w:rFonts w:ascii="Times New Roman" w:eastAsia="Times New Roman" w:hAnsi="Times New Roman" w:cs="Times New Roman"/>
          <w:bCs/>
          <w:color w:val="000000"/>
          <w:sz w:val="24"/>
          <w:szCs w:val="24"/>
        </w:rPr>
      </w:pPr>
      <m:oMath>
        <m:r>
          <w:rPr>
            <w:rFonts w:ascii="Cambria Math" w:eastAsiaTheme="minorEastAsia" w:hAnsi="Cambria Math"/>
            <w:color w:val="000000"/>
            <w:sz w:val="24"/>
            <w:szCs w:val="24"/>
          </w:rPr>
          <m:t xml:space="preserve">      </m:t>
        </m:r>
        <m:sSubSup>
          <m:sSubSupPr>
            <m:ctrlPr>
              <w:rPr>
                <w:rFonts w:ascii="Cambria Math" w:eastAsia="Times New Roman" w:hAnsi="Cambria Math" w:cs="Times New Roman"/>
                <w:bCs/>
                <w:i/>
                <w:iCs/>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bCs/>
                <w:i/>
                <w:iCs/>
                <w:color w:val="000000"/>
                <w:sz w:val="24"/>
                <w:szCs w:val="24"/>
              </w:rPr>
            </m:ctrlPr>
          </m:sSubPr>
          <m:e>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1</m:t>
                </m:r>
              </m:sub>
            </m:sSub>
            <m:sSubSup>
              <m:sSubSupPr>
                <m:ctrlPr>
                  <w:rPr>
                    <w:rFonts w:ascii="Cambria Math" w:eastAsia="Times New Roman" w:hAnsi="Cambria Math" w:cs="Times New Roman"/>
                    <w:bCs/>
                    <w:i/>
                    <w:iCs/>
                    <w:color w:val="000000"/>
                    <w:sz w:val="24"/>
                    <w:szCs w:val="24"/>
                  </w:rPr>
                </m:ctrlPr>
              </m:sSubSup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m:t>
                </m:r>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2</m:t>
            </m:r>
          </m:sub>
        </m:sSub>
        <m:sSubSup>
          <m:sSubSupPr>
            <m:ctrlPr>
              <w:rPr>
                <w:rFonts w:ascii="Cambria Math" w:eastAsia="Times New Roman" w:hAnsi="Cambria Math" w:cs="Times New Roman"/>
                <w:bCs/>
                <w:i/>
                <w:iCs/>
                <w:color w:val="000000"/>
                <w:sz w:val="24"/>
                <w:szCs w:val="24"/>
              </w:rPr>
            </m:ctrlPr>
          </m:sSubSup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m:t>
            </m:r>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I</m:t>
        </m:r>
        <m:r>
          <w:rPr>
            <w:rFonts w:ascii="Cambria Math" w:eastAsia="Times New Roman" w:hAnsi="Cambria Math" w:cs="Times New Roman"/>
            <w:color w:val="000000"/>
            <w:sz w:val="24"/>
            <w:szCs w:val="24"/>
          </w:rPr>
          <m:t>(</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m:t>
            </m:r>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&gt;0)+</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3</m:t>
            </m:r>
          </m:sub>
        </m:sSub>
        <m:sSubSup>
          <m:sSubSupPr>
            <m:ctrlPr>
              <w:rPr>
                <w:rFonts w:ascii="Cambria Math" w:eastAsia="Times New Roman" w:hAnsi="Cambria Math" w:cs="Times New Roman"/>
                <w:bCs/>
                <w:i/>
                <w:iCs/>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oMath>
      <w:r>
        <w:rPr>
          <w:rFonts w:ascii="Times New Roman" w:eastAsia="Times New Roman" w:hAnsi="Times New Roman" w:cs="Times New Roman"/>
          <w:bCs/>
          <w:color w:val="000000"/>
          <w:sz w:val="24"/>
          <w:szCs w:val="24"/>
        </w:rPr>
        <w:tab/>
      </w:r>
    </w:p>
    <w:p w:rsidR="00FB3918" w:rsidRDefault="00FB3918">
      <w:pPr>
        <w:spacing w:line="240" w:lineRule="auto"/>
        <w:textAlignment w:val="baseline"/>
        <w:rPr>
          <w:rFonts w:ascii="Times New Roman" w:eastAsia="Times New Roman" w:hAnsi="Times New Roman" w:cs="Times New Roman"/>
          <w:bCs/>
          <w:color w:val="000000"/>
          <w:sz w:val="24"/>
          <w:szCs w:val="24"/>
        </w:rPr>
      </w:pPr>
    </w:p>
    <w:p w:rsidR="00FB3918" w:rsidRDefault="0091539E">
      <w:pPr>
        <w:spacing w:line="480" w:lineRule="auto"/>
        <w:ind w:firstLine="720"/>
        <w:textAlignment w:val="baseline"/>
        <w:rPr>
          <w:rFonts w:ascii="Times New Roman" w:eastAsia="Times New Roman" w:hAnsi="Times New Roman" w:cs="Times New Roman"/>
          <w:bCs/>
          <w:i/>
          <w:color w:val="000000"/>
          <w:sz w:val="24"/>
          <w:szCs w:val="24"/>
        </w:rPr>
      </w:pPr>
      <w:r>
        <w:rPr>
          <w:rFonts w:ascii="Times New Roman" w:eastAsia="Times New Roman" w:hAnsi="Times New Roman" w:cs="Times New Roman"/>
          <w:bCs/>
          <w:color w:val="000000"/>
          <w:sz w:val="24"/>
          <w:szCs w:val="24"/>
        </w:rPr>
        <w:t xml:space="preserve">The first moment of the model gold returns, S&amp;P 500 returns, and the change in google trends to explain Bitcoin returns.  The inclusion of gold returns and the S&amp;P 500 returns mirrors </w:t>
      </w:r>
      <w:proofErr w:type="spellStart"/>
      <w:r>
        <w:rPr>
          <w:rFonts w:ascii="Times New Roman" w:eastAsia="Times New Roman" w:hAnsi="Times New Roman" w:cs="Times New Roman"/>
          <w:bCs/>
          <w:color w:val="000000"/>
          <w:sz w:val="24"/>
          <w:szCs w:val="24"/>
        </w:rPr>
        <w:t>Bouri</w:t>
      </w:r>
      <w:proofErr w:type="spellEnd"/>
      <w:r>
        <w:rPr>
          <w:rFonts w:ascii="Times New Roman" w:eastAsia="Times New Roman" w:hAnsi="Times New Roman" w:cs="Times New Roman"/>
          <w:bCs/>
          <w:color w:val="000000"/>
          <w:sz w:val="24"/>
          <w:szCs w:val="24"/>
        </w:rPr>
        <w:t xml:space="preserve"> (2016) for modeling Bitcoin returns. Also, Bitcoin futures returns</w:t>
      </w:r>
      <w:r>
        <w:rPr>
          <w:rFonts w:ascii="Times New Roman" w:eastAsia="Times New Roman" w:hAnsi="Times New Roman" w:cs="Times New Roman"/>
          <w:bCs/>
          <w:color w:val="000000"/>
          <w:sz w:val="24"/>
          <w:szCs w:val="24"/>
        </w:rPr>
        <w:t xml:space="preserve"> may be related to investor sentiment as </w:t>
      </w: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bCs/>
          <w:color w:val="000000"/>
          <w:sz w:val="24"/>
          <w:szCs w:val="24"/>
        </w:rPr>
        <w:t xml:space="preserve"> (2013) had found in his study of Bitcoin. The second moment of the model incorporates the lagged squared error term as an indication of positive or negative swings in the return of Bitcoin futures,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oMath>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This models volatility when returns are negative and positive</w:t>
      </w:r>
      <m:oMath>
        <m:r>
          <w:rPr>
            <w:rFonts w:ascii="Cambria Math" w:eastAsia="Times New Roman" w:hAnsi="Cambria Math" w:cs="Times New Roman"/>
            <w:color w:val="000000"/>
            <w:sz w:val="24"/>
            <w:szCs w:val="24"/>
          </w:rPr>
          <m:t>.</m:t>
        </m:r>
      </m:oMath>
      <w:r>
        <w:rPr>
          <w:rFonts w:ascii="Times New Roman" w:eastAsia="Times New Roman" w:hAnsi="Times New Roman" w:cs="Times New Roman"/>
          <w:bCs/>
          <w:color w:val="000000"/>
          <w:sz w:val="24"/>
          <w:szCs w:val="24"/>
        </w:rPr>
        <w:t xml:space="preserve">  If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2</m:t>
            </m:r>
          </m:sub>
        </m:sSub>
      </m:oMath>
      <w:r>
        <w:rPr>
          <w:rFonts w:ascii="Times New Roman" w:eastAsia="Times New Roman" w:hAnsi="Times New Roman" w:cs="Times New Roman"/>
          <w:bCs/>
          <w:color w:val="000000"/>
          <w:sz w:val="24"/>
          <w:szCs w:val="24"/>
          <w:vertAlign w:val="subscript"/>
        </w:rPr>
        <w:t xml:space="preserve"> </w:t>
      </w:r>
      <w:r>
        <w:rPr>
          <w:rFonts w:ascii="Times New Roman" w:eastAsia="Times New Roman" w:hAnsi="Times New Roman" w:cs="Times New Roman"/>
          <w:bCs/>
          <w:color w:val="000000"/>
          <w:sz w:val="24"/>
          <w:szCs w:val="24"/>
        </w:rPr>
        <w:t xml:space="preserve">is positive, then positive shocks to the Bitcoin futures returns increase volatility. </w:t>
      </w:r>
      <w:r>
        <w:rPr>
          <w:rFonts w:ascii="Times New Roman" w:eastAsia="Times New Roman" w:hAnsi="Times New Roman" w:cs="Times New Roman"/>
          <w:bCs/>
          <w:i/>
          <w:color w:val="000000"/>
          <w:sz w:val="24"/>
          <w:szCs w:val="24"/>
        </w:rPr>
        <w:t>Currently, this model has not been estimated and will need to be researched more extensively in fal</w:t>
      </w:r>
      <w:r>
        <w:rPr>
          <w:rFonts w:ascii="Times New Roman" w:eastAsia="Times New Roman" w:hAnsi="Times New Roman" w:cs="Times New Roman"/>
          <w:bCs/>
          <w:i/>
          <w:color w:val="000000"/>
          <w:sz w:val="24"/>
          <w:szCs w:val="24"/>
        </w:rPr>
        <w:t>l 2018.</w:t>
      </w:r>
    </w:p>
    <w:p w:rsidR="00FB3918" w:rsidRDefault="0091539E">
      <w:pPr>
        <w:spacing w:line="480" w:lineRule="auto"/>
        <w:textAlignment w:val="baseline"/>
        <w:rPr>
          <w:rFonts w:ascii="Times New Roman" w:eastAsia="Times New Roman" w:hAnsi="Times New Roman" w:cs="Times New Roman"/>
          <w:color w:val="000000"/>
        </w:rPr>
      </w:pPr>
      <w:r>
        <w:rPr>
          <w:rFonts w:ascii="Times New Roman" w:eastAsia="Times New Roman" w:hAnsi="Times New Roman" w:cs="Times New Roman"/>
          <w:bCs/>
          <w:color w:val="000000"/>
          <w:sz w:val="24"/>
          <w:szCs w:val="24"/>
        </w:rPr>
        <w:tab/>
        <w:t xml:space="preserve">Given the asymmetric model will not converge in its maximum likelihood estimation, there may be a simpler way of determining if Bitcoin futures are really a safe-haven. If a safe- haven commodity acts as </w:t>
      </w: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Azzi</w:t>
      </w:r>
      <w:proofErr w:type="spellEnd"/>
      <w:r>
        <w:rPr>
          <w:rFonts w:ascii="Times New Roman" w:eastAsia="Times New Roman" w:hAnsi="Times New Roman" w:cs="Times New Roman"/>
          <w:color w:val="000000"/>
          <w:sz w:val="24"/>
          <w:szCs w:val="24"/>
        </w:rPr>
        <w:t xml:space="preserve"> (2016</w:t>
      </w:r>
      <w:r>
        <w:rPr>
          <w:rFonts w:ascii="Times New Roman" w:eastAsia="Times New Roman" w:hAnsi="Times New Roman" w:cs="Times New Roman"/>
          <w:b/>
          <w:bCs/>
          <w:color w:val="000000"/>
          <w:sz w:val="24"/>
          <w:szCs w:val="24"/>
        </w:rPr>
        <w:t>)</w:t>
      </w:r>
      <w:r>
        <w:rPr>
          <w:rFonts w:ascii="Times New Roman" w:eastAsia="Times New Roman" w:hAnsi="Times New Roman" w:cs="Times New Roman"/>
          <w:bCs/>
          <w:color w:val="000000"/>
          <w:sz w:val="24"/>
          <w:szCs w:val="24"/>
        </w:rPr>
        <w:t xml:space="preserve"> suggest where investors</w:t>
      </w:r>
      <w:r>
        <w:rPr>
          <w:rFonts w:ascii="Times New Roman" w:eastAsia="Times New Roman" w:hAnsi="Times New Roman" w:cs="Times New Roman"/>
          <w:bCs/>
          <w:color w:val="000000"/>
          <w:sz w:val="24"/>
          <w:szCs w:val="24"/>
        </w:rPr>
        <w:t xml:space="preserve"> in downturn transmit volatility from the stock market to the Bitcoin market, then a safe-haven commodity’s volatility would have a negative correlation to the stock market. Thus, an estimate for Bitcoin Futures returns’ conditional volatility is created a</w:t>
      </w:r>
      <w:r>
        <w:rPr>
          <w:rFonts w:ascii="Times New Roman" w:eastAsia="Times New Roman" w:hAnsi="Times New Roman" w:cs="Times New Roman"/>
          <w:bCs/>
          <w:color w:val="000000"/>
          <w:sz w:val="24"/>
          <w:szCs w:val="24"/>
        </w:rPr>
        <w:t xml:space="preserve">nd compared to the US VIX as a proxy for US stocks </w:t>
      </w:r>
      <w:r>
        <w:rPr>
          <w:rFonts w:ascii="Times New Roman" w:eastAsia="Times New Roman" w:hAnsi="Times New Roman" w:cs="Times New Roman"/>
          <w:bCs/>
          <w:color w:val="000000"/>
          <w:sz w:val="24"/>
          <w:szCs w:val="24"/>
        </w:rPr>
        <w:lastRenderedPageBreak/>
        <w:t>volatility. The conditional volatility for Bitcoin futures returns are modeled through the below GARCH structure. Results are listed in Table 3 in the appendix.</w:t>
      </w:r>
    </w:p>
    <w:p w:rsidR="00FB3918" w:rsidRDefault="0091539E">
      <w:pPr>
        <w:spacing w:line="240" w:lineRule="auto"/>
        <w:textAlignment w:val="baseline"/>
        <w:rPr>
          <w:rFonts w:ascii="Times New Roman" w:eastAsia="Times New Roman" w:hAnsi="Times New Roman" w:cs="Times New Roman"/>
          <w:b/>
          <w:bCs/>
          <w:i/>
          <w:color w:val="000000"/>
          <w:szCs w:val="24"/>
          <w:u w:val="single"/>
        </w:rPr>
      </w:pPr>
      <w:r>
        <w:rPr>
          <w:rFonts w:ascii="Times New Roman" w:eastAsia="Times New Roman" w:hAnsi="Times New Roman" w:cs="Times New Roman"/>
          <w:b/>
          <w:bCs/>
          <w:i/>
          <w:color w:val="000000"/>
          <w:szCs w:val="24"/>
          <w:u w:val="single"/>
        </w:rPr>
        <w:t xml:space="preserve">Bitcoin Futures Return </w:t>
      </w:r>
      <w:proofErr w:type="gramStart"/>
      <w:r>
        <w:rPr>
          <w:rFonts w:ascii="Times New Roman" w:eastAsia="Times New Roman" w:hAnsi="Times New Roman" w:cs="Times New Roman"/>
          <w:b/>
          <w:bCs/>
          <w:i/>
          <w:color w:val="000000"/>
          <w:szCs w:val="24"/>
          <w:u w:val="single"/>
        </w:rPr>
        <w:t>GARCH(</w:t>
      </w:r>
      <w:proofErr w:type="gramEnd"/>
      <w:r>
        <w:rPr>
          <w:rFonts w:ascii="Times New Roman" w:eastAsia="Times New Roman" w:hAnsi="Times New Roman" w:cs="Times New Roman"/>
          <w:b/>
          <w:bCs/>
          <w:i/>
          <w:color w:val="000000"/>
          <w:szCs w:val="24"/>
          <w:u w:val="single"/>
        </w:rPr>
        <w:t xml:space="preserve">1,1) </w:t>
      </w:r>
    </w:p>
    <w:p w:rsidR="00FB3918" w:rsidRDefault="0091539E">
      <w:pPr>
        <w:spacing w:line="240" w:lineRule="auto"/>
        <w:textAlignment w:val="baseline"/>
        <w:rPr>
          <w:bCs/>
          <w:color w:val="000000"/>
        </w:rPr>
      </w:pPr>
      <w:r>
        <w:rPr>
          <w:rFonts w:ascii="Times New Roman" w:eastAsia="Times New Roman" w:hAnsi="Times New Roman" w:cs="Times New Roman"/>
          <w:bCs/>
          <w:color w:val="000000"/>
        </w:rPr>
        <w:t xml:space="preserve">    </w:t>
      </w:r>
      <m:oMath>
        <m:r>
          <w:rPr>
            <w:rFonts w:ascii="Cambria Math" w:eastAsia="Times New Roman" w:hAnsi="Cambria Math"/>
            <w:color w:val="000000"/>
          </w:rPr>
          <m:t>FuturesReturns</m:t>
        </m:r>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d>
          <m:dPr>
            <m:ctrlPr>
              <w:rPr>
                <w:rFonts w:ascii="Cambria Math" w:hAnsi="Cambria Math"/>
                <w:bCs/>
                <w:i/>
                <w:iCs/>
                <w:color w:val="000000"/>
              </w:rPr>
            </m:ctrlPr>
          </m:dPr>
          <m:e>
            <m:r>
              <w:rPr>
                <w:rFonts w:ascii="Cambria Math" w:eastAsia="Times New Roman" w:hAnsi="Cambria Math"/>
                <w:color w:val="000000"/>
              </w:rPr>
              <m:t>FuturesReturn</m:t>
            </m:r>
            <m:sSub>
              <m:sSubPr>
                <m:ctrlPr>
                  <w:rPr>
                    <w:rFonts w:ascii="Cambria Math" w:hAnsi="Cambria Math"/>
                    <w:bCs/>
                    <w:i/>
                    <w:iCs/>
                    <w:color w:val="000000"/>
                  </w:rPr>
                </m:ctrlPr>
              </m:sSubPr>
              <m:e>
                <m:r>
                  <w:rPr>
                    <w:rFonts w:ascii="Cambria Math" w:eastAsia="Times New Roman" w:hAnsi="Cambria Math"/>
                    <w:color w:val="000000"/>
                  </w:rPr>
                  <m:t>s</m:t>
                </m:r>
              </m:e>
              <m:sub>
                <m:r>
                  <w:rPr>
                    <w:rFonts w:ascii="Cambria Math" w:eastAsia="Times New Roman" w:hAnsi="Cambria Math"/>
                    <w:color w:val="000000"/>
                  </w:rPr>
                  <m:t>t</m:t>
                </m:r>
                <m:r>
                  <w:rPr>
                    <w:rFonts w:ascii="Cambria Math" w:eastAsia="Times New Roman" w:hAnsi="Cambria Math"/>
                    <w:color w:val="000000"/>
                  </w:rPr>
                  <m:t>-1</m:t>
                </m:r>
              </m:sub>
            </m:sSub>
          </m:e>
        </m:d>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w:p>
    <w:p w:rsidR="00FB3918" w:rsidRDefault="0091539E">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bCs/>
          <w:color w:val="000000"/>
        </w:rPr>
        <w:t xml:space="preserve">    </w:t>
      </w:r>
      <m:oMath>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σ</m:t>
            </m:r>
          </m:e>
          <m:sub>
            <m:r>
              <w:rPr>
                <w:rFonts w:ascii="Cambria Math" w:eastAsia="Times New Roman" w:hAnsi="Cambria Math" w:cs="Times New Roman"/>
                <w:color w:val="000000"/>
              </w:rPr>
              <m:t>t</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γ</m:t>
            </m:r>
          </m:e>
          <m:sub>
            <m:r>
              <w:rPr>
                <w:rFonts w:ascii="Cambria Math" w:eastAsia="Times New Roman" w:hAnsi="Cambria Math" w:cs="Times New Roman"/>
                <w:color w:val="000000"/>
              </w:rPr>
              <m:t>0</m:t>
            </m:r>
          </m:sub>
        </m:sSub>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1</m:t>
            </m:r>
          </m:sub>
        </m:sSub>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e</m:t>
            </m:r>
          </m:e>
          <m:sub>
            <m:r>
              <w:rPr>
                <w:rFonts w:ascii="Cambria Math" w:eastAsia="Times New Roman" w:hAnsi="Cambria Math" w:cs="Times New Roman"/>
                <w:color w:val="000000"/>
              </w:rPr>
              <m:t>t</m:t>
            </m:r>
            <m:r>
              <w:rPr>
                <w:rFonts w:ascii="Cambria Math" w:eastAsia="Times New Roman" w:hAnsi="Cambria Math" w:cs="Times New Roman"/>
                <w:color w:val="000000"/>
              </w:rPr>
              <m:t>-1</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2</m:t>
            </m:r>
          </m:sub>
        </m:sSub>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σ</m:t>
            </m:r>
          </m:e>
          <m:sub>
            <m:r>
              <w:rPr>
                <w:rFonts w:ascii="Cambria Math" w:eastAsia="Times New Roman" w:hAnsi="Cambria Math" w:cs="Times New Roman"/>
                <w:color w:val="000000"/>
              </w:rPr>
              <m:t>t</m:t>
            </m:r>
            <m:r>
              <w:rPr>
                <w:rFonts w:ascii="Cambria Math" w:eastAsia="Times New Roman" w:hAnsi="Cambria Math" w:cs="Times New Roman"/>
                <w:color w:val="000000"/>
              </w:rPr>
              <m:t>-1</m:t>
            </m:r>
          </m:sub>
          <m:sup>
            <m:r>
              <w:rPr>
                <w:rFonts w:ascii="Cambria Math" w:eastAsia="Times New Roman" w:hAnsi="Cambria Math" w:cs="Times New Roman"/>
                <w:color w:val="000000"/>
              </w:rPr>
              <m:t>2</m:t>
            </m:r>
          </m:sup>
        </m:sSubSup>
      </m:oMath>
    </w:p>
    <w:p w:rsidR="00FB3918" w:rsidRDefault="00FB3918">
      <w:pPr>
        <w:spacing w:line="240" w:lineRule="auto"/>
        <w:textAlignment w:val="baseline"/>
        <w:rPr>
          <w:rFonts w:ascii="Times New Roman" w:eastAsia="Times New Roman" w:hAnsi="Times New Roman" w:cs="Times New Roman"/>
          <w:bCs/>
          <w:color w:val="000000"/>
          <w:sz w:val="24"/>
          <w:szCs w:val="24"/>
        </w:rPr>
      </w:pPr>
    </w:p>
    <w:p w:rsidR="00E558F0" w:rsidRPr="00E558F0" w:rsidRDefault="0091539E" w:rsidP="00E558F0">
      <w:pPr>
        <w:spacing w:line="480" w:lineRule="auto"/>
        <w:textAlignment w:val="baseline"/>
        <w:rPr>
          <w:rFonts w:ascii="Times New Roman" w:eastAsia="Times New Roman" w:hAnsi="Times New Roman" w:cs="Times New Roman"/>
          <w:bCs/>
          <w:iCs/>
          <w:color w:val="000000"/>
        </w:rPr>
      </w:pPr>
      <w:r>
        <w:rPr>
          <w:rFonts w:ascii="Times New Roman" w:eastAsia="Times New Roman" w:hAnsi="Times New Roman" w:cs="Times New Roman"/>
          <w:bCs/>
          <w:color w:val="000000"/>
          <w:sz w:val="24"/>
          <w:szCs w:val="24"/>
        </w:rPr>
        <w:tab/>
        <w:t>To further investigate, an augmented GARCH is modeled to incorporate the US VIX in explaining Bitcoin futures volatility and the results are sho</w:t>
      </w:r>
      <w:r>
        <w:rPr>
          <w:rFonts w:ascii="Times New Roman" w:eastAsia="Times New Roman" w:hAnsi="Times New Roman" w:cs="Times New Roman"/>
          <w:bCs/>
          <w:color w:val="000000"/>
          <w:sz w:val="24"/>
          <w:szCs w:val="24"/>
        </w:rPr>
        <w:t xml:space="preserve">wn in Table 5. If </w:t>
      </w:r>
      <m:oMath>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3</m:t>
            </m:r>
          </m:sub>
        </m:sSub>
      </m:oMath>
      <w:r>
        <w:rPr>
          <w:rFonts w:ascii="Times New Roman" w:eastAsia="Times New Roman" w:hAnsi="Times New Roman" w:cs="Times New Roman"/>
          <w:bCs/>
          <w:iCs/>
          <w:color w:val="000000"/>
        </w:rPr>
        <w:t xml:space="preserve"> is found to be statistically significant th</w:t>
      </w:r>
      <w:r w:rsidR="00EE35C1">
        <w:rPr>
          <w:rFonts w:ascii="Times New Roman" w:eastAsia="Times New Roman" w:hAnsi="Times New Roman" w:cs="Times New Roman"/>
          <w:bCs/>
          <w:iCs/>
          <w:color w:val="000000"/>
        </w:rPr>
        <w:t>e</w:t>
      </w:r>
      <w:r>
        <w:rPr>
          <w:rFonts w:ascii="Times New Roman" w:eastAsia="Times New Roman" w:hAnsi="Times New Roman" w:cs="Times New Roman"/>
          <w:bCs/>
          <w:iCs/>
          <w:color w:val="000000"/>
        </w:rPr>
        <w:t xml:space="preserve">n </w:t>
      </w:r>
      <w:r w:rsidR="00EE35C1">
        <w:rPr>
          <w:rFonts w:ascii="Times New Roman" w:eastAsia="Times New Roman" w:hAnsi="Times New Roman" w:cs="Times New Roman"/>
          <w:bCs/>
          <w:iCs/>
          <w:color w:val="000000"/>
        </w:rPr>
        <w:t xml:space="preserve">the conditional variance of </w:t>
      </w:r>
      <w:r>
        <w:rPr>
          <w:rFonts w:ascii="Times New Roman" w:eastAsia="Times New Roman" w:hAnsi="Times New Roman" w:cs="Times New Roman"/>
          <w:bCs/>
          <w:iCs/>
          <w:color w:val="000000"/>
        </w:rPr>
        <w:t>Bitcoin futures</w:t>
      </w:r>
      <w:r w:rsidR="00EE35C1">
        <w:rPr>
          <w:rFonts w:ascii="Times New Roman" w:eastAsia="Times New Roman" w:hAnsi="Times New Roman" w:cs="Times New Roman"/>
          <w:bCs/>
          <w:iCs/>
          <w:color w:val="000000"/>
        </w:rPr>
        <w:t xml:space="preserve"> returns</w:t>
      </w:r>
      <w:r>
        <w:rPr>
          <w:rFonts w:ascii="Times New Roman" w:eastAsia="Times New Roman" w:hAnsi="Times New Roman" w:cs="Times New Roman"/>
          <w:bCs/>
          <w:iCs/>
          <w:color w:val="000000"/>
        </w:rPr>
        <w:t xml:space="preserve"> </w:t>
      </w:r>
      <w:r w:rsidR="00EE35C1">
        <w:rPr>
          <w:rFonts w:ascii="Times New Roman" w:eastAsia="Times New Roman" w:hAnsi="Times New Roman" w:cs="Times New Roman"/>
          <w:bCs/>
          <w:iCs/>
          <w:color w:val="000000"/>
        </w:rPr>
        <w:t>must</w:t>
      </w:r>
      <w:r>
        <w:rPr>
          <w:rFonts w:ascii="Times New Roman" w:eastAsia="Times New Roman" w:hAnsi="Times New Roman" w:cs="Times New Roman"/>
          <w:bCs/>
          <w:iCs/>
          <w:color w:val="000000"/>
        </w:rPr>
        <w:t xml:space="preserve"> be a function of the US volatility index</w:t>
      </w:r>
      <w:r w:rsidR="00EE35C1">
        <w:rPr>
          <w:rFonts w:ascii="Times New Roman" w:eastAsia="Times New Roman" w:hAnsi="Times New Roman" w:cs="Times New Roman"/>
          <w:bCs/>
          <w:iCs/>
          <w:color w:val="000000"/>
        </w:rPr>
        <w:t xml:space="preserve"> and therefore the two markets are linked in their conditional variances. </w:t>
      </w:r>
      <w:r w:rsidR="00E558F0">
        <w:rPr>
          <w:rFonts w:ascii="Times New Roman" w:eastAsia="Times New Roman" w:hAnsi="Times New Roman" w:cs="Times New Roman"/>
          <w:bCs/>
          <w:iCs/>
          <w:color w:val="000000"/>
        </w:rPr>
        <w:t xml:space="preserve">Moreover, if </w:t>
      </w:r>
      <m:oMath>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3</m:t>
            </m:r>
          </m:sub>
        </m:sSub>
      </m:oMath>
      <w:r w:rsidR="00E558F0">
        <w:rPr>
          <w:rFonts w:ascii="Times New Roman" w:eastAsia="Times New Roman" w:hAnsi="Times New Roman" w:cs="Times New Roman"/>
          <w:bCs/>
          <w:iCs/>
          <w:color w:val="000000"/>
        </w:rPr>
        <w:t xml:space="preserve"> is negative, then </w:t>
      </w:r>
      <w:r w:rsidR="00EE35C1">
        <w:rPr>
          <w:rFonts w:ascii="Times New Roman" w:eastAsia="Times New Roman" w:hAnsi="Times New Roman" w:cs="Times New Roman"/>
          <w:bCs/>
          <w:iCs/>
          <w:color w:val="000000"/>
        </w:rPr>
        <w:t xml:space="preserve">the conditional variance of Bitcoin futures returns decreases with as the volatility increases in the stock market. Meaning, </w:t>
      </w:r>
      <w:r w:rsidR="00B41056">
        <w:rPr>
          <w:rFonts w:ascii="Times New Roman" w:eastAsia="Times New Roman" w:hAnsi="Times New Roman" w:cs="Times New Roman"/>
          <w:bCs/>
          <w:iCs/>
          <w:color w:val="000000"/>
        </w:rPr>
        <w:t>that when price change volatility increases in equities market, Bitcoin returns become less volatile and may act like a safe-haven for equity shocks.</w:t>
      </w:r>
    </w:p>
    <w:p w:rsidR="00E558F0" w:rsidRPr="00E558F0" w:rsidRDefault="00E558F0">
      <w:pPr>
        <w:spacing w:line="240" w:lineRule="auto"/>
        <w:textAlignment w:val="baseline"/>
        <w:rPr>
          <w:rFonts w:ascii="Times New Roman" w:eastAsia="Times New Roman" w:hAnsi="Times New Roman" w:cs="Times New Roman"/>
          <w:bCs/>
          <w:color w:val="000000"/>
        </w:rPr>
      </w:pPr>
    </w:p>
    <w:p w:rsidR="00FB3918" w:rsidRDefault="0091539E">
      <w:pPr>
        <w:spacing w:line="240" w:lineRule="auto"/>
        <w:textAlignment w:val="baseline"/>
        <w:rPr>
          <w:rFonts w:ascii="Times New Roman" w:eastAsia="Times New Roman" w:hAnsi="Times New Roman" w:cs="Times New Roman"/>
          <w:b/>
          <w:bCs/>
          <w:i/>
          <w:color w:val="000000"/>
          <w:u w:val="single"/>
        </w:rPr>
      </w:pPr>
      <w:r>
        <w:rPr>
          <w:rFonts w:ascii="Times New Roman" w:eastAsia="Times New Roman" w:hAnsi="Times New Roman" w:cs="Times New Roman"/>
          <w:b/>
          <w:bCs/>
          <w:i/>
          <w:color w:val="000000"/>
          <w:u w:val="single"/>
        </w:rPr>
        <w:t>Augmented GARCH Model</w:t>
      </w:r>
    </w:p>
    <w:p w:rsidR="00FB3918" w:rsidRDefault="0091539E">
      <w:pPr>
        <w:spacing w:line="240" w:lineRule="auto"/>
        <w:textAlignment w:val="baseline"/>
        <w:rPr>
          <w:bCs/>
          <w:color w:val="000000"/>
        </w:rPr>
      </w:pPr>
      <w:r>
        <w:rPr>
          <w:rFonts w:ascii="Times New Roman" w:eastAsia="Times New Roman" w:hAnsi="Times New Roman" w:cs="Times New Roman"/>
          <w:bCs/>
          <w:color w:val="000000"/>
        </w:rPr>
        <w:t xml:space="preserve">    </w:t>
      </w:r>
      <m:oMath>
        <m:r>
          <w:rPr>
            <w:rFonts w:ascii="Cambria Math" w:eastAsia="Times New Roman" w:hAnsi="Cambria Math"/>
            <w:color w:val="000000"/>
          </w:rPr>
          <m:t>FuturesReturns</m:t>
        </m:r>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d>
          <m:dPr>
            <m:ctrlPr>
              <w:rPr>
                <w:rFonts w:ascii="Cambria Math" w:hAnsi="Cambria Math"/>
                <w:bCs/>
                <w:i/>
                <w:iCs/>
                <w:color w:val="000000"/>
              </w:rPr>
            </m:ctrlPr>
          </m:dPr>
          <m:e>
            <m:r>
              <w:rPr>
                <w:rFonts w:ascii="Cambria Math" w:eastAsia="Times New Roman" w:hAnsi="Cambria Math"/>
                <w:color w:val="000000"/>
              </w:rPr>
              <m:t>FuturesReturn</m:t>
            </m:r>
            <m:sSub>
              <m:sSubPr>
                <m:ctrlPr>
                  <w:rPr>
                    <w:rFonts w:ascii="Cambria Math" w:hAnsi="Cambria Math"/>
                    <w:bCs/>
                    <w:i/>
                    <w:iCs/>
                    <w:color w:val="000000"/>
                  </w:rPr>
                </m:ctrlPr>
              </m:sSubPr>
              <m:e>
                <m:r>
                  <w:rPr>
                    <w:rFonts w:ascii="Cambria Math" w:eastAsia="Times New Roman" w:hAnsi="Cambria Math"/>
                    <w:color w:val="000000"/>
                  </w:rPr>
                  <m:t>s</m:t>
                </m:r>
              </m:e>
              <m:sub>
                <m:r>
                  <w:rPr>
                    <w:rFonts w:ascii="Cambria Math" w:eastAsia="Times New Roman" w:hAnsi="Cambria Math"/>
                    <w:color w:val="000000"/>
                  </w:rPr>
                  <m:t>t</m:t>
                </m:r>
                <m:r>
                  <w:rPr>
                    <w:rFonts w:ascii="Cambria Math" w:eastAsia="Times New Roman" w:hAnsi="Cambria Math"/>
                    <w:color w:val="000000"/>
                  </w:rPr>
                  <m:t>-1</m:t>
                </m:r>
              </m:sub>
            </m:sSub>
          </m:e>
        </m:d>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w:p>
    <w:p w:rsidR="00FB3918" w:rsidRDefault="0091539E">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bCs/>
          <w:color w:val="000000"/>
        </w:rPr>
        <w:t xml:space="preserve">    </w:t>
      </w:r>
      <m:oMath>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σ</m:t>
            </m:r>
          </m:e>
          <m:sub>
            <m:r>
              <w:rPr>
                <w:rFonts w:ascii="Cambria Math" w:eastAsia="Times New Roman" w:hAnsi="Cambria Math" w:cs="Times New Roman"/>
                <w:color w:val="000000"/>
              </w:rPr>
              <m:t>t</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γ</m:t>
            </m:r>
          </m:e>
          <m:sub>
            <m:r>
              <w:rPr>
                <w:rFonts w:ascii="Cambria Math" w:eastAsia="Times New Roman" w:hAnsi="Cambria Math" w:cs="Times New Roman"/>
                <w:color w:val="000000"/>
              </w:rPr>
              <m:t>0</m:t>
            </m:r>
          </m:sub>
        </m:sSub>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1</m:t>
            </m:r>
          </m:sub>
        </m:sSub>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e</m:t>
            </m:r>
          </m:e>
          <m:sub>
            <m:r>
              <w:rPr>
                <w:rFonts w:ascii="Cambria Math" w:eastAsia="Times New Roman" w:hAnsi="Cambria Math" w:cs="Times New Roman"/>
                <w:color w:val="000000"/>
              </w:rPr>
              <m:t>t</m:t>
            </m:r>
            <m:r>
              <w:rPr>
                <w:rFonts w:ascii="Cambria Math" w:eastAsia="Times New Roman" w:hAnsi="Cambria Math" w:cs="Times New Roman"/>
                <w:color w:val="000000"/>
              </w:rPr>
              <m:t>-1</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2</m:t>
            </m:r>
          </m:sub>
        </m:sSub>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σ</m:t>
            </m:r>
          </m:e>
          <m:sub>
            <m:r>
              <w:rPr>
                <w:rFonts w:ascii="Cambria Math" w:eastAsia="Times New Roman" w:hAnsi="Cambria Math" w:cs="Times New Roman"/>
                <w:color w:val="000000"/>
              </w:rPr>
              <m:t>t</m:t>
            </m:r>
            <m:r>
              <w:rPr>
                <w:rFonts w:ascii="Cambria Math" w:eastAsia="Times New Roman" w:hAnsi="Cambria Math" w:cs="Times New Roman"/>
                <w:color w:val="000000"/>
              </w:rPr>
              <m:t>-1</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3</m:t>
            </m:r>
          </m:sub>
        </m:sSub>
        <m:r>
          <w:rPr>
            <w:rFonts w:ascii="Cambria Math" w:eastAsia="Times New Roman" w:hAnsi="Cambria Math" w:cs="Times New Roman"/>
            <w:color w:val="000000"/>
          </w:rPr>
          <m:t>(</m:t>
        </m:r>
        <m:r>
          <w:rPr>
            <w:rFonts w:ascii="Cambria Math" w:eastAsia="Times New Roman" w:hAnsi="Cambria Math" w:cs="Times New Roman"/>
            <w:color w:val="000000"/>
          </w:rPr>
          <m:t>US</m:t>
        </m:r>
        <m:r>
          <w:rPr>
            <w:rFonts w:ascii="Cambria Math" w:eastAsia="Times New Roman" w:hAnsi="Cambria Math" w:cs="Times New Roman"/>
            <w:color w:val="000000"/>
          </w:rPr>
          <m:t xml:space="preserve"> </m:t>
        </m:r>
        <m:r>
          <w:rPr>
            <w:rFonts w:ascii="Cambria Math" w:eastAsia="Times New Roman" w:hAnsi="Cambria Math" w:cs="Times New Roman"/>
            <w:color w:val="000000"/>
          </w:rPr>
          <m:t>VIX</m:t>
        </m:r>
        <m:r>
          <w:rPr>
            <w:rFonts w:ascii="Cambria Math" w:eastAsia="Times New Roman" w:hAnsi="Cambria Math" w:cs="Times New Roman"/>
            <w:color w:val="000000"/>
          </w:rPr>
          <m:t>)</m:t>
        </m:r>
      </m:oMath>
    </w:p>
    <w:p w:rsidR="00FB3918" w:rsidRDefault="00FB3918">
      <w:pPr>
        <w:spacing w:line="480" w:lineRule="auto"/>
        <w:textAlignment w:val="baseline"/>
        <w:rPr>
          <w:rFonts w:ascii="Times New Roman" w:eastAsia="Times New Roman" w:hAnsi="Times New Roman" w:cs="Times New Roman"/>
          <w:bCs/>
          <w:color w:val="000000"/>
          <w:sz w:val="24"/>
          <w:szCs w:val="24"/>
        </w:rPr>
      </w:pPr>
    </w:p>
    <w:p w:rsidR="00FB3918" w:rsidRDefault="0091539E">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Results </w:t>
      </w:r>
    </w:p>
    <w:p w:rsidR="00FB3918" w:rsidRDefault="0091539E">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 general, the results suggest that there is a negative relationship between Bitcoin futures return volatility and the US VIX. Charts 1 &amp; 2 make this notion clear. Chart 1 shows the models volatility of Bitcoin futures returns over time. Chart 2 depicts t</w:t>
      </w:r>
      <w:r>
        <w:rPr>
          <w:rFonts w:ascii="Times New Roman" w:eastAsia="Times New Roman" w:hAnsi="Times New Roman" w:cs="Times New Roman"/>
          <w:bCs/>
          <w:color w:val="000000"/>
          <w:sz w:val="24"/>
          <w:szCs w:val="24"/>
        </w:rPr>
        <w:t xml:space="preserve">he VIX over time. Looking at both charts there appears to be a correlation between them. </w:t>
      </w:r>
    </w:p>
    <w:p w:rsidR="00FB3918" w:rsidRDefault="0091539E">
      <w:pPr>
        <w:spacing w:line="480" w:lineRule="auto"/>
        <w:ind w:firstLine="360"/>
        <w:textAlignment w:val="baseline"/>
        <w:rPr>
          <w:rFonts w:ascii="Times New Roman" w:eastAsia="Times New Roman" w:hAnsi="Times New Roman" w:cs="Times New Roman"/>
          <w:bCs/>
          <w:iCs/>
          <w:color w:val="000000"/>
        </w:rPr>
      </w:pPr>
      <w:r>
        <w:rPr>
          <w:rFonts w:ascii="Times New Roman" w:eastAsia="Times New Roman" w:hAnsi="Times New Roman" w:cs="Times New Roman"/>
          <w:bCs/>
          <w:color w:val="000000"/>
          <w:sz w:val="24"/>
          <w:szCs w:val="24"/>
        </w:rPr>
        <w:lastRenderedPageBreak/>
        <w:tab/>
        <w:t xml:space="preserve">When including the VIX in modeling Bitcoin futures volatility, the parameter </w:t>
      </w:r>
      <m:oMath>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3</m:t>
            </m:r>
          </m:sub>
        </m:sSub>
      </m:oMath>
      <w:r>
        <w:rPr>
          <w:rFonts w:ascii="Times New Roman" w:eastAsia="Times New Roman" w:hAnsi="Times New Roman" w:cs="Times New Roman"/>
          <w:bCs/>
          <w:iCs/>
          <w:color w:val="000000"/>
        </w:rPr>
        <w:t xml:space="preserve"> in the Augmented GARCH model is found to be statistically significant at less than t</w:t>
      </w:r>
      <w:r>
        <w:rPr>
          <w:rFonts w:ascii="Times New Roman" w:eastAsia="Times New Roman" w:hAnsi="Times New Roman" w:cs="Times New Roman"/>
          <w:bCs/>
          <w:iCs/>
          <w:color w:val="000000"/>
        </w:rPr>
        <w:t xml:space="preserve">he 1% confidence level as indicated by the p-value in Table 5. Further, the coefficient is found to be negative. Thus, Bitcoin futures return volatility appears to be negatively related with the volatility of US equities. </w:t>
      </w:r>
    </w:p>
    <w:p w:rsidR="00FB3918" w:rsidRDefault="00FB3918">
      <w:pPr>
        <w:spacing w:line="480" w:lineRule="auto"/>
        <w:ind w:firstLine="360"/>
        <w:textAlignment w:val="baseline"/>
        <w:rPr>
          <w:rFonts w:ascii="Times New Roman" w:eastAsia="Times New Roman" w:hAnsi="Times New Roman" w:cs="Times New Roman"/>
          <w:bCs/>
          <w:color w:val="000000"/>
          <w:sz w:val="24"/>
          <w:szCs w:val="24"/>
        </w:rPr>
      </w:pPr>
    </w:p>
    <w:p w:rsidR="00FB3918" w:rsidRDefault="0091539E">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 and Further Research</w:t>
      </w:r>
    </w:p>
    <w:p w:rsidR="00FB3918" w:rsidRDefault="0091539E">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 conclusion, there is some evidence to suggest that Bitcoin futures act as a safe-haven through their volatility relationship to the VIX. However, these results are not proven to be robust and in future research this will be investigated. Further researc</w:t>
      </w:r>
      <w:r>
        <w:rPr>
          <w:rFonts w:ascii="Times New Roman" w:eastAsia="Times New Roman" w:hAnsi="Times New Roman" w:cs="Times New Roman"/>
          <w:bCs/>
          <w:color w:val="000000"/>
          <w:sz w:val="24"/>
          <w:szCs w:val="24"/>
        </w:rPr>
        <w:t>h should also consider how the relationship between well-known safe-haven assets to the VIX and how this compares to Bitcoin futures. In addition, a test should be conducted where Bitcoin futures are added to a portfolio of the S&amp;P 500 and benchmarked agai</w:t>
      </w:r>
      <w:r>
        <w:rPr>
          <w:rFonts w:ascii="Times New Roman" w:eastAsia="Times New Roman" w:hAnsi="Times New Roman" w:cs="Times New Roman"/>
          <w:bCs/>
          <w:color w:val="000000"/>
          <w:sz w:val="24"/>
          <w:szCs w:val="24"/>
        </w:rPr>
        <w:t>nst well-known safe-haven assets.</w:t>
      </w:r>
    </w:p>
    <w:p w:rsidR="00FB3918" w:rsidRDefault="00FB3918">
      <w:pPr>
        <w:spacing w:line="480" w:lineRule="auto"/>
        <w:ind w:firstLine="360"/>
        <w:rPr>
          <w:rFonts w:ascii="Times New Roman" w:eastAsia="Times New Roman" w:hAnsi="Times New Roman" w:cs="Times New Roman"/>
          <w:sz w:val="24"/>
          <w:szCs w:val="24"/>
        </w:rPr>
      </w:pPr>
    </w:p>
    <w:p w:rsidR="00FB3918" w:rsidRDefault="0091539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FB3918" w:rsidRDefault="00FB3918">
      <w:pPr>
        <w:spacing w:after="240" w:line="240" w:lineRule="auto"/>
        <w:rPr>
          <w:rFonts w:ascii="Times New Roman" w:eastAsia="Times New Roman" w:hAnsi="Times New Roman" w:cs="Times New Roman"/>
          <w:sz w:val="24"/>
          <w:szCs w:val="24"/>
        </w:rPr>
      </w:pPr>
    </w:p>
    <w:p w:rsidR="00FB3918" w:rsidRDefault="0091539E">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Bibliography</w:t>
      </w:r>
    </w:p>
    <w:p w:rsidR="00FB3918" w:rsidRDefault="00915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Baur, D. G., &amp; Lucey, B. M. (2009). Is Gold a Hedge or a Safe-haven? an Analysis of Stocks, </w:t>
      </w:r>
    </w:p>
    <w:p w:rsidR="00FB3918" w:rsidRDefault="00915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Bonds and Gold. SSRN Electronic Journal. doi:10.2139/ssrn.952289</w:t>
      </w:r>
    </w:p>
    <w:p w:rsidR="00FB3918" w:rsidRDefault="00FB3918">
      <w:pPr>
        <w:spacing w:line="240" w:lineRule="auto"/>
        <w:rPr>
          <w:rFonts w:ascii="Times New Roman" w:eastAsia="Times New Roman" w:hAnsi="Times New Roman" w:cs="Times New Roman"/>
          <w:sz w:val="24"/>
          <w:szCs w:val="24"/>
        </w:rPr>
      </w:pPr>
    </w:p>
    <w:p w:rsidR="00FB3918" w:rsidRDefault="00915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Baur, D. (2012). </w:t>
      </w:r>
      <w:r>
        <w:rPr>
          <w:rFonts w:ascii="Times New Roman" w:eastAsia="Times New Roman" w:hAnsi="Times New Roman" w:cs="Times New Roman"/>
          <w:sz w:val="24"/>
          <w:szCs w:val="24"/>
        </w:rPr>
        <w:t>Asymmetric volatility in the gold market. Journal of Alternative Investments</w:t>
      </w:r>
    </w:p>
    <w:p w:rsidR="00FB3918" w:rsidRDefault="0091539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14(4): 26–38. </w:t>
      </w:r>
    </w:p>
    <w:p w:rsidR="00FB3918" w:rsidRDefault="00915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 Fischer, (1976), Studies of stock price volatility changes, Proceedings of the 1976</w:t>
      </w:r>
    </w:p>
    <w:p w:rsidR="00FB3918" w:rsidRDefault="0091539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Meetings of the American Statistical Association, Business and </w:t>
      </w:r>
      <w:r>
        <w:rPr>
          <w:rFonts w:ascii="Times New Roman" w:eastAsia="Times New Roman" w:hAnsi="Times New Roman" w:cs="Times New Roman"/>
          <w:sz w:val="24"/>
          <w:szCs w:val="24"/>
        </w:rPr>
        <w:t>Economics Statistics</w:t>
      </w:r>
    </w:p>
    <w:p w:rsidR="00FB3918" w:rsidRDefault="0091539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pp. 177-181.</w:t>
      </w:r>
    </w:p>
    <w:p w:rsidR="00FB3918" w:rsidRDefault="00FB3918">
      <w:pPr>
        <w:spacing w:line="240" w:lineRule="auto"/>
        <w:rPr>
          <w:rFonts w:ascii="Times New Roman" w:eastAsia="Times New Roman" w:hAnsi="Times New Roman" w:cs="Times New Roman"/>
          <w:sz w:val="24"/>
          <w:szCs w:val="24"/>
        </w:rPr>
      </w:pPr>
    </w:p>
    <w:p w:rsidR="00FB3918" w:rsidRDefault="0091539E">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E., &amp; </w:t>
      </w:r>
      <w:proofErr w:type="spellStart"/>
      <w:r>
        <w:rPr>
          <w:rFonts w:ascii="Times New Roman" w:eastAsia="Times New Roman" w:hAnsi="Times New Roman" w:cs="Times New Roman"/>
          <w:color w:val="000000"/>
          <w:sz w:val="24"/>
          <w:szCs w:val="24"/>
        </w:rPr>
        <w:t>Azzi</w:t>
      </w:r>
      <w:proofErr w:type="spellEnd"/>
      <w:r>
        <w:rPr>
          <w:rFonts w:ascii="Times New Roman" w:eastAsia="Times New Roman" w:hAnsi="Times New Roman" w:cs="Times New Roman"/>
          <w:color w:val="000000"/>
          <w:sz w:val="24"/>
          <w:szCs w:val="24"/>
        </w:rPr>
        <w:t>, G. (2016). On the Return-Volatility Relationship in the Bitcoin Market around</w:t>
      </w:r>
    </w:p>
    <w:p w:rsidR="00FB3918" w:rsidRDefault="0091539E">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Price Crash of 2013. SSRN Electronic Journal. doi:10.2139/ssrn.2869855</w:t>
      </w:r>
    </w:p>
    <w:p w:rsidR="00FB3918" w:rsidRDefault="00FB3918">
      <w:pPr>
        <w:spacing w:line="240" w:lineRule="auto"/>
        <w:ind w:firstLine="720"/>
        <w:rPr>
          <w:rFonts w:ascii="Times New Roman" w:eastAsia="Times New Roman" w:hAnsi="Times New Roman" w:cs="Times New Roman"/>
          <w:color w:val="000000"/>
          <w:sz w:val="24"/>
          <w:szCs w:val="24"/>
        </w:rPr>
      </w:pPr>
    </w:p>
    <w:p w:rsidR="00FB3918" w:rsidRDefault="0091539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E., Gupta, R., Tiwari, A., &amp; </w:t>
      </w:r>
      <w:proofErr w:type="spellStart"/>
      <w:r>
        <w:rPr>
          <w:rFonts w:ascii="Times New Roman" w:eastAsia="Times New Roman" w:hAnsi="Times New Roman" w:cs="Times New Roman"/>
          <w:color w:val="000000"/>
          <w:sz w:val="24"/>
          <w:szCs w:val="24"/>
        </w:rPr>
        <w:t>Rou</w:t>
      </w:r>
      <w:r>
        <w:rPr>
          <w:rFonts w:ascii="Times New Roman" w:eastAsia="Times New Roman" w:hAnsi="Times New Roman" w:cs="Times New Roman"/>
          <w:color w:val="000000"/>
          <w:sz w:val="24"/>
          <w:szCs w:val="24"/>
        </w:rPr>
        <w:t>baud</w:t>
      </w:r>
      <w:proofErr w:type="spellEnd"/>
      <w:r>
        <w:rPr>
          <w:rFonts w:ascii="Times New Roman" w:eastAsia="Times New Roman" w:hAnsi="Times New Roman" w:cs="Times New Roman"/>
          <w:color w:val="000000"/>
          <w:sz w:val="24"/>
          <w:szCs w:val="24"/>
        </w:rPr>
        <w:t>, D. (2017). Does Bitcoin hedge global uncertainty?</w:t>
      </w:r>
    </w:p>
    <w:p w:rsidR="00FB3918" w:rsidRDefault="0091539E">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Evidence from wavelet-based quantile-in-quantile regressions. Finance Research Letters, </w:t>
      </w:r>
    </w:p>
    <w:p w:rsidR="00FB3918" w:rsidRDefault="0091539E">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87–95. doi:10.1016/j.frl.2017.02.009</w:t>
      </w:r>
    </w:p>
    <w:p w:rsidR="00FB3918" w:rsidRDefault="00FB3918">
      <w:pPr>
        <w:spacing w:line="240" w:lineRule="auto"/>
        <w:ind w:firstLine="720"/>
        <w:rPr>
          <w:rFonts w:ascii="Times New Roman" w:eastAsia="Times New Roman" w:hAnsi="Times New Roman" w:cs="Times New Roman"/>
          <w:sz w:val="24"/>
          <w:szCs w:val="24"/>
        </w:rPr>
      </w:pPr>
    </w:p>
    <w:p w:rsidR="00FB3918" w:rsidRDefault="0091539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Corbet, S., Meegan, A., Larkin, C. J., Lucey, B. M., &amp; </w:t>
      </w:r>
      <w:proofErr w:type="spellStart"/>
      <w:r>
        <w:rPr>
          <w:rFonts w:ascii="Times New Roman" w:eastAsia="Times New Roman" w:hAnsi="Times New Roman" w:cs="Times New Roman"/>
          <w:color w:val="000000"/>
          <w:sz w:val="24"/>
          <w:szCs w:val="24"/>
        </w:rPr>
        <w:t>Yarovaya</w:t>
      </w:r>
      <w:proofErr w:type="spellEnd"/>
      <w:r>
        <w:rPr>
          <w:rFonts w:ascii="Times New Roman" w:eastAsia="Times New Roman" w:hAnsi="Times New Roman" w:cs="Times New Roman"/>
          <w:color w:val="000000"/>
          <w:sz w:val="24"/>
          <w:szCs w:val="24"/>
        </w:rPr>
        <w:t>, L. (</w:t>
      </w:r>
      <w:r>
        <w:rPr>
          <w:rFonts w:ascii="Times New Roman" w:eastAsia="Times New Roman" w:hAnsi="Times New Roman" w:cs="Times New Roman"/>
          <w:color w:val="000000"/>
          <w:sz w:val="24"/>
          <w:szCs w:val="24"/>
        </w:rPr>
        <w:t xml:space="preserve">2017). Exploring the </w:t>
      </w:r>
    </w:p>
    <w:p w:rsidR="00FB3918" w:rsidRDefault="0091539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Dynamic Relationships between Cryptocurrencies and Other Financial Assets. SSRN</w:t>
      </w:r>
    </w:p>
    <w:p w:rsidR="00FB3918" w:rsidRDefault="0091539E">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Electronic journal. doi:10.2139/ssrn.3070288</w:t>
      </w:r>
    </w:p>
    <w:p w:rsidR="00FB3918" w:rsidRDefault="00FB3918">
      <w:pPr>
        <w:spacing w:line="240" w:lineRule="auto"/>
        <w:ind w:left="720"/>
        <w:rPr>
          <w:rFonts w:ascii="Times New Roman" w:eastAsia="Times New Roman" w:hAnsi="Times New Roman" w:cs="Times New Roman"/>
          <w:sz w:val="24"/>
          <w:szCs w:val="24"/>
        </w:rPr>
      </w:pPr>
    </w:p>
    <w:p w:rsidR="00FB3918" w:rsidRDefault="0091539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Diebold, F. X. and K. Yilmaz (2012). Better to give than to receive: Predictive directional</w:t>
      </w:r>
    </w:p>
    <w:p w:rsidR="00FB3918" w:rsidRDefault="0091539E">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measurement of </w:t>
      </w:r>
      <w:r>
        <w:rPr>
          <w:rFonts w:ascii="Times New Roman" w:eastAsia="Times New Roman" w:hAnsi="Times New Roman" w:cs="Times New Roman"/>
          <w:color w:val="000000"/>
          <w:sz w:val="24"/>
          <w:szCs w:val="24"/>
        </w:rPr>
        <w:t>volatility spillovers. International Journal of Forecasting 28 (1), 57–66.</w:t>
      </w:r>
    </w:p>
    <w:p w:rsidR="00FB3918" w:rsidRDefault="00FB3918">
      <w:pPr>
        <w:spacing w:line="240" w:lineRule="auto"/>
        <w:ind w:firstLine="720"/>
        <w:rPr>
          <w:rFonts w:ascii="Times New Roman" w:eastAsia="Times New Roman" w:hAnsi="Times New Roman" w:cs="Times New Roman"/>
          <w:sz w:val="24"/>
          <w:szCs w:val="24"/>
        </w:rPr>
      </w:pPr>
    </w:p>
    <w:p w:rsidR="00FB3918" w:rsidRDefault="0091539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de-DE"/>
        </w:rPr>
        <w:t xml:space="preserve">Foley, S. M., Karlsen, J. R., &amp; Putniii, T. J. (2018). </w:t>
      </w:r>
      <w:r>
        <w:rPr>
          <w:rFonts w:ascii="Times New Roman" w:eastAsia="Times New Roman" w:hAnsi="Times New Roman" w:cs="Times New Roman"/>
          <w:color w:val="000000"/>
          <w:sz w:val="24"/>
          <w:szCs w:val="24"/>
        </w:rPr>
        <w:t>Sex, Drugs, and Bitcoin: How Much Illegal</w:t>
      </w:r>
    </w:p>
    <w:p w:rsidR="00FB3918" w:rsidRDefault="0091539E">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Activity Is Financed Through Cryptocurrencies? SSRN Electronic Journal.</w:t>
      </w:r>
    </w:p>
    <w:p w:rsidR="00FB3918" w:rsidRDefault="00FB3918">
      <w:pPr>
        <w:spacing w:line="240" w:lineRule="auto"/>
        <w:ind w:firstLine="720"/>
        <w:rPr>
          <w:rFonts w:ascii="Times New Roman" w:eastAsia="Times New Roman" w:hAnsi="Times New Roman" w:cs="Times New Roman"/>
          <w:color w:val="000000"/>
          <w:sz w:val="24"/>
          <w:szCs w:val="24"/>
        </w:rPr>
      </w:pPr>
    </w:p>
    <w:p w:rsidR="00FB3918" w:rsidRDefault="0091539E">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Hentschel</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L., &amp; Campbell, J. (1992). No News is Good News: An Asymmetric Model of </w:t>
      </w:r>
    </w:p>
    <w:p w:rsidR="00FB3918" w:rsidRDefault="0091539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Changing Volatility in Stock Returns, 31(3).</w:t>
      </w:r>
    </w:p>
    <w:p w:rsidR="00FB3918" w:rsidRDefault="00FB3918">
      <w:pPr>
        <w:spacing w:line="240" w:lineRule="auto"/>
        <w:rPr>
          <w:rFonts w:ascii="Times New Roman" w:eastAsia="Times New Roman" w:hAnsi="Times New Roman" w:cs="Times New Roman"/>
          <w:color w:val="000000"/>
          <w:sz w:val="24"/>
          <w:szCs w:val="24"/>
        </w:rPr>
      </w:pPr>
    </w:p>
    <w:p w:rsidR="00FB3918" w:rsidRDefault="00915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"How Bitcoin mining works." CoinDesk. January 31, 2018. Accessed March 11, 2018.</w:t>
      </w:r>
    </w:p>
    <w:p w:rsidR="00FB3918" w:rsidRDefault="0091539E">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https://www.coindesk.com/information/how-Bitcoin-mining-works/.</w:t>
      </w:r>
    </w:p>
    <w:p w:rsidR="00FB3918" w:rsidRDefault="00FB3918">
      <w:pPr>
        <w:spacing w:line="240" w:lineRule="auto"/>
        <w:rPr>
          <w:rFonts w:ascii="Times New Roman" w:eastAsia="Times New Roman" w:hAnsi="Times New Roman" w:cs="Times New Roman"/>
          <w:sz w:val="24"/>
          <w:szCs w:val="24"/>
        </w:rPr>
      </w:pPr>
    </w:p>
    <w:p w:rsidR="00FB3918" w:rsidRDefault="0091539E">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color w:val="000000"/>
          <w:sz w:val="24"/>
          <w:szCs w:val="24"/>
        </w:rPr>
        <w:t>, L. (2013). Bitcoin meets Google Trends and Wikipedia: Quantifying the relationship</w:t>
      </w:r>
    </w:p>
    <w:p w:rsidR="00FB3918" w:rsidRDefault="0091539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between phenomena of the Internet era. Scientific Reports, 3, 3415. URL: </w:t>
      </w:r>
      <w:r>
        <w:rPr>
          <w:rFonts w:ascii="Times New Roman" w:eastAsia="Times New Roman" w:hAnsi="Times New Roman" w:cs="Times New Roman"/>
          <w:color w:val="000000"/>
          <w:sz w:val="24"/>
          <w:szCs w:val="24"/>
        </w:rPr>
        <w:t>Http://www.nature.com/articles/srep03415</w:t>
      </w:r>
    </w:p>
    <w:p w:rsidR="00FB3918" w:rsidRDefault="0091539E">
      <w:pPr>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Glosten</w:t>
      </w:r>
      <w:proofErr w:type="spellEnd"/>
      <w:r>
        <w:rPr>
          <w:rFonts w:ascii="Times New Roman" w:eastAsia="Times New Roman" w:hAnsi="Times New Roman" w:cs="Times New Roman"/>
          <w:sz w:val="24"/>
          <w:szCs w:val="24"/>
        </w:rPr>
        <w:t>, L., Jagannathan, R., &amp; Runkle, D. (1993). On the Relation between the Expected Value</w:t>
      </w:r>
    </w:p>
    <w:p w:rsidR="00FB3918" w:rsidRDefault="0091539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Volatility of the Nominal Excess Return on Stocks. The Journal of Finance, </w:t>
      </w:r>
    </w:p>
    <w:p w:rsidR="00FB3918" w:rsidRDefault="0091539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48(5), 1779-1801.</w:t>
      </w:r>
    </w:p>
    <w:p w:rsidR="00FB3918" w:rsidRDefault="00FB3918">
      <w:pPr>
        <w:spacing w:after="0" w:line="240" w:lineRule="auto"/>
        <w:rPr>
          <w:rFonts w:ascii="Times New Roman" w:eastAsia="Times New Roman" w:hAnsi="Times New Roman" w:cs="Times New Roman"/>
          <w:sz w:val="24"/>
          <w:szCs w:val="24"/>
        </w:rPr>
      </w:pPr>
    </w:p>
    <w:p w:rsidR="00FB3918" w:rsidRDefault="0091539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Moore, T., &amp; Chri</w:t>
      </w:r>
      <w:r>
        <w:rPr>
          <w:rFonts w:ascii="Times New Roman" w:eastAsia="Times New Roman" w:hAnsi="Times New Roman" w:cs="Times New Roman"/>
          <w:color w:val="000000"/>
          <w:sz w:val="24"/>
          <w:szCs w:val="24"/>
        </w:rPr>
        <w:t>stin, N. (2013). Beware the Middleman: Empirical Analysis of Bitcoin-</w:t>
      </w:r>
    </w:p>
    <w:p w:rsidR="00FB3918" w:rsidRDefault="0091539E">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Exchange Risk. Financial Cryptography and Data Security Lecture Notes in Computer </w:t>
      </w:r>
    </w:p>
    <w:p w:rsidR="00FB3918" w:rsidRDefault="0091539E">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Science, 25-35. doi:10.1007/978-3-642-39884-1_3</w:t>
      </w:r>
    </w:p>
    <w:p w:rsidR="00FB3918" w:rsidRDefault="00FB3918">
      <w:pPr>
        <w:spacing w:line="240" w:lineRule="auto"/>
        <w:ind w:firstLine="720"/>
        <w:rPr>
          <w:rFonts w:ascii="Times New Roman" w:eastAsia="Times New Roman" w:hAnsi="Times New Roman" w:cs="Times New Roman"/>
          <w:sz w:val="24"/>
          <w:szCs w:val="24"/>
        </w:rPr>
      </w:pPr>
    </w:p>
    <w:p w:rsidR="00FB3918" w:rsidRDefault="0091539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Nakamoto, S. (2008). Bitcoin: A peer-to-peer electroni</w:t>
      </w:r>
      <w:r>
        <w:rPr>
          <w:rFonts w:ascii="Times New Roman" w:eastAsia="Times New Roman" w:hAnsi="Times New Roman" w:cs="Times New Roman"/>
          <w:color w:val="000000"/>
          <w:sz w:val="24"/>
          <w:szCs w:val="24"/>
        </w:rPr>
        <w:t>c cash system, Unpublished manuscript.</w:t>
      </w:r>
    </w:p>
    <w:p w:rsidR="00FB3918" w:rsidRDefault="0091539E">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proofErr w:type="spellStart"/>
      <w:r>
        <w:rPr>
          <w:rFonts w:ascii="Times New Roman" w:eastAsia="Times New Roman" w:hAnsi="Times New Roman" w:cs="Times New Roman"/>
          <w:color w:val="000000"/>
          <w:sz w:val="24"/>
          <w:szCs w:val="24"/>
        </w:rPr>
        <w:t>Noether</w:t>
      </w:r>
      <w:proofErr w:type="spellEnd"/>
      <w:r>
        <w:rPr>
          <w:rFonts w:ascii="Times New Roman" w:eastAsia="Times New Roman" w:hAnsi="Times New Roman" w:cs="Times New Roman"/>
          <w:color w:val="000000"/>
          <w:sz w:val="24"/>
          <w:szCs w:val="24"/>
        </w:rPr>
        <w:t xml:space="preserve">, S., 2015, Ring signature confidential transactions for </w:t>
      </w:r>
      <w:proofErr w:type="spellStart"/>
      <w:r>
        <w:rPr>
          <w:rFonts w:ascii="Times New Roman" w:eastAsia="Times New Roman" w:hAnsi="Times New Roman" w:cs="Times New Roman"/>
          <w:color w:val="000000"/>
          <w:sz w:val="24"/>
          <w:szCs w:val="24"/>
        </w:rPr>
        <w:t>monero</w:t>
      </w:r>
      <w:proofErr w:type="spellEnd"/>
      <w:r>
        <w:rPr>
          <w:rFonts w:ascii="Times New Roman" w:eastAsia="Times New Roman" w:hAnsi="Times New Roman" w:cs="Times New Roman"/>
          <w:color w:val="000000"/>
          <w:sz w:val="24"/>
          <w:szCs w:val="24"/>
        </w:rPr>
        <w:t xml:space="preserve">, In IACR </w:t>
      </w:r>
    </w:p>
    <w:p w:rsidR="00FB3918" w:rsidRDefault="0091539E">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Cryptology </w:t>
      </w:r>
      <w:proofErr w:type="spellStart"/>
      <w:r>
        <w:rPr>
          <w:rFonts w:ascii="Times New Roman" w:eastAsia="Times New Roman" w:hAnsi="Times New Roman" w:cs="Times New Roman"/>
          <w:color w:val="000000"/>
          <w:sz w:val="24"/>
          <w:szCs w:val="24"/>
        </w:rPr>
        <w:t>ePrint</w:t>
      </w:r>
      <w:proofErr w:type="spellEnd"/>
      <w:r>
        <w:rPr>
          <w:rFonts w:ascii="Times New Roman" w:eastAsia="Times New Roman" w:hAnsi="Times New Roman" w:cs="Times New Roman"/>
          <w:color w:val="000000"/>
          <w:sz w:val="24"/>
          <w:szCs w:val="24"/>
        </w:rPr>
        <w:t xml:space="preserve"> Archive, 1098.</w:t>
      </w:r>
    </w:p>
    <w:p w:rsidR="00FB3918" w:rsidRDefault="00FB3918">
      <w:pPr>
        <w:spacing w:line="240" w:lineRule="auto"/>
        <w:ind w:firstLine="720"/>
        <w:rPr>
          <w:rFonts w:ascii="Times New Roman" w:eastAsia="Times New Roman" w:hAnsi="Times New Roman" w:cs="Times New Roman"/>
          <w:sz w:val="24"/>
          <w:szCs w:val="24"/>
        </w:rPr>
      </w:pPr>
    </w:p>
    <w:p w:rsidR="00FB3918" w:rsidRDefault="0091539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Yermack, D. (2013). Is Bitcoin a real currency? An economic appraisal. (No. w19747). National</w:t>
      </w:r>
    </w:p>
    <w:p w:rsidR="00FB3918" w:rsidRDefault="0091539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Burea</w:t>
      </w:r>
      <w:r>
        <w:rPr>
          <w:rFonts w:ascii="Times New Roman" w:eastAsia="Times New Roman" w:hAnsi="Times New Roman" w:cs="Times New Roman"/>
          <w:color w:val="000000"/>
          <w:sz w:val="24"/>
          <w:szCs w:val="24"/>
        </w:rPr>
        <w:t>u of Economic Research. URL: http://www.nber.org/papers/w19747</w:t>
      </w:r>
    </w:p>
    <w:p w:rsidR="00FB3918" w:rsidRDefault="00FB3918">
      <w:pPr>
        <w:rPr>
          <w:rFonts w:ascii="Times New Roman" w:hAnsi="Times New Roman" w:cs="Times New Roman"/>
        </w:rPr>
      </w:pPr>
    </w:p>
    <w:p w:rsidR="00FB3918" w:rsidRDefault="00FB3918">
      <w:pPr>
        <w:rPr>
          <w:rFonts w:ascii="Times New Roman" w:hAnsi="Times New Roman" w:cs="Times New Roman"/>
        </w:rPr>
      </w:pPr>
    </w:p>
    <w:p w:rsidR="00FB3918" w:rsidRDefault="00FB3918">
      <w:pPr>
        <w:rPr>
          <w:rFonts w:ascii="Times New Roman" w:hAnsi="Times New Roman" w:cs="Times New Roman"/>
        </w:rPr>
      </w:pPr>
    </w:p>
    <w:p w:rsidR="00FB3918" w:rsidRDefault="00FB3918">
      <w:pPr>
        <w:rPr>
          <w:rFonts w:ascii="Times New Roman" w:hAnsi="Times New Roman" w:cs="Times New Roman"/>
        </w:rPr>
      </w:pPr>
    </w:p>
    <w:p w:rsidR="00FB3918" w:rsidRDefault="00FB3918">
      <w:pPr>
        <w:rPr>
          <w:rFonts w:ascii="Times New Roman" w:hAnsi="Times New Roman" w:cs="Times New Roman"/>
        </w:rPr>
      </w:pPr>
    </w:p>
    <w:p w:rsidR="00FB3918" w:rsidRDefault="00FB3918">
      <w:pPr>
        <w:rPr>
          <w:rFonts w:ascii="Times New Roman" w:hAnsi="Times New Roman" w:cs="Times New Roman"/>
        </w:rPr>
      </w:pPr>
    </w:p>
    <w:p w:rsidR="00FB3918" w:rsidRDefault="00FB3918">
      <w:pPr>
        <w:rPr>
          <w:rFonts w:ascii="Times New Roman" w:hAnsi="Times New Roman" w:cs="Times New Roman"/>
        </w:rPr>
      </w:pPr>
    </w:p>
    <w:p w:rsidR="00FB3918" w:rsidRDefault="00FB3918">
      <w:pPr>
        <w:rPr>
          <w:rFonts w:ascii="Times New Roman" w:hAnsi="Times New Roman" w:cs="Times New Roman"/>
        </w:rPr>
      </w:pPr>
    </w:p>
    <w:p w:rsidR="00FB3918" w:rsidRDefault="0091539E">
      <w:pPr>
        <w:rPr>
          <w:rFonts w:ascii="Times New Roman" w:hAnsi="Times New Roman" w:cs="Times New Roman"/>
          <w:b/>
        </w:rPr>
      </w:pPr>
      <w:r>
        <w:rPr>
          <w:rFonts w:ascii="Times New Roman" w:hAnsi="Times New Roman" w:cs="Times New Roman"/>
          <w:b/>
        </w:rPr>
        <w:lastRenderedPageBreak/>
        <w:t>Appendix</w:t>
      </w:r>
    </w:p>
    <w:p w:rsidR="00FB3918" w:rsidRDefault="0091539E">
      <w:pPr>
        <w:rPr>
          <w:rFonts w:ascii="Times New Roman" w:hAnsi="Times New Roman" w:cs="Times New Roman"/>
          <w:b/>
        </w:rPr>
      </w:pPr>
      <w:r>
        <w:rPr>
          <w:noProof/>
        </w:rPr>
        <w:drawing>
          <wp:inline distT="0" distB="0" distL="0" distR="0">
            <wp:extent cx="4314825" cy="772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7724775"/>
                    </a:xfrm>
                    <a:prstGeom prst="rect">
                      <a:avLst/>
                    </a:prstGeom>
                    <a:noFill/>
                    <a:ln>
                      <a:noFill/>
                    </a:ln>
                  </pic:spPr>
                </pic:pic>
              </a:graphicData>
            </a:graphic>
          </wp:inline>
        </w:drawing>
      </w:r>
    </w:p>
    <w:p w:rsidR="00FB3918" w:rsidRDefault="00FB3918">
      <w:pPr>
        <w:rPr>
          <w:rFonts w:ascii="Times New Roman" w:hAnsi="Times New Roman" w:cs="Times New Roman"/>
          <w:b/>
        </w:rPr>
      </w:pPr>
    </w:p>
    <w:p w:rsidR="00FB3918" w:rsidRDefault="0091539E">
      <w:pPr>
        <w:rPr>
          <w:rFonts w:ascii="Times New Roman" w:hAnsi="Times New Roman" w:cs="Times New Roman"/>
          <w:b/>
        </w:rPr>
      </w:pPr>
      <w:r>
        <w:rPr>
          <w:noProof/>
        </w:rPr>
        <w:drawing>
          <wp:inline distT="0" distB="0" distL="0" distR="0">
            <wp:extent cx="4924425" cy="6734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6734175"/>
                    </a:xfrm>
                    <a:prstGeom prst="rect">
                      <a:avLst/>
                    </a:prstGeom>
                    <a:noFill/>
                    <a:ln>
                      <a:noFill/>
                    </a:ln>
                  </pic:spPr>
                </pic:pic>
              </a:graphicData>
            </a:graphic>
          </wp:inline>
        </w:drawing>
      </w:r>
    </w:p>
    <w:p w:rsidR="00FB3918" w:rsidRDefault="00FB3918">
      <w:pPr>
        <w:rPr>
          <w:rFonts w:ascii="Times New Roman" w:hAnsi="Times New Roman" w:cs="Times New Roman"/>
          <w:b/>
        </w:rPr>
      </w:pPr>
    </w:p>
    <w:p w:rsidR="00FB3918" w:rsidRDefault="00FB3918">
      <w:pPr>
        <w:rPr>
          <w:rFonts w:ascii="Times New Roman" w:hAnsi="Times New Roman" w:cs="Times New Roman"/>
          <w:b/>
        </w:rPr>
      </w:pPr>
    </w:p>
    <w:p w:rsidR="00FB3918" w:rsidRDefault="00FB3918">
      <w:pPr>
        <w:rPr>
          <w:rFonts w:ascii="Times New Roman" w:hAnsi="Times New Roman" w:cs="Times New Roman"/>
          <w:b/>
        </w:rPr>
      </w:pPr>
    </w:p>
    <w:p w:rsidR="00FB3918" w:rsidRDefault="00FB3918">
      <w:pPr>
        <w:rPr>
          <w:rFonts w:ascii="Times New Roman" w:hAnsi="Times New Roman" w:cs="Times New Roman"/>
          <w:b/>
        </w:rPr>
      </w:pPr>
    </w:p>
    <w:tbl>
      <w:tblPr>
        <w:tblW w:w="7760" w:type="dxa"/>
        <w:tblLook w:val="04A0" w:firstRow="1" w:lastRow="0" w:firstColumn="1" w:lastColumn="0" w:noHBand="0" w:noVBand="1"/>
      </w:tblPr>
      <w:tblGrid>
        <w:gridCol w:w="3692"/>
        <w:gridCol w:w="266"/>
        <w:gridCol w:w="266"/>
        <w:gridCol w:w="1120"/>
        <w:gridCol w:w="920"/>
        <w:gridCol w:w="840"/>
        <w:gridCol w:w="960"/>
      </w:tblGrid>
      <w:tr w:rsidR="00FB3918">
        <w:trPr>
          <w:trHeight w:val="300"/>
        </w:trPr>
        <w:tc>
          <w:tcPr>
            <w:tcW w:w="3920" w:type="dxa"/>
            <w:gridSpan w:val="3"/>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Chart 2. S&amp;P 500 Volatility Index (US VIX)</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auto" w:fill="auto"/>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867275" cy="3543300"/>
                  <wp:effectExtent l="0" t="0" r="9525" b="0"/>
                  <wp:wrapNone/>
                  <wp:docPr id="6" name="Picture 6">
                    <a:extLst xmlns:a="http://schemas.openxmlformats.org/drawingml/2006/main">
                      <a:ext uri="{FF2B5EF4-FFF2-40B4-BE49-F238E27FC236}">
                        <a16:creationId xmlns:a16="http://schemas.microsoft.com/office/drawing/2014/main" id="{9C259A7F-B3A5-4A81-AAD2-34AC26B8B50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C259A7F-B3A5-4A81-AAD2-34AC26B8B507}"/>
                              </a:ext>
                            </a:extLst>
                          </pic:cNvPr>
                          <pic:cNvPicPr>
                            <a:picLocks noChangeAspect="1"/>
                          </pic:cNvPicPr>
                        </pic:nvPicPr>
                        <pic:blipFill>
                          <a:blip r:embed="rId11"/>
                          <a:stretch>
                            <a:fillRect/>
                          </a:stretch>
                        </pic:blipFill>
                        <pic:spPr>
                          <a:xfrm>
                            <a:off x="0" y="0"/>
                            <a:ext cx="4873710" cy="35433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620"/>
            </w:tblGrid>
            <w:tr w:rsidR="00FB3918">
              <w:trPr>
                <w:trHeight w:val="300"/>
                <w:tblCellSpacing w:w="0" w:type="dxa"/>
              </w:trPr>
              <w:tc>
                <w:tcPr>
                  <w:tcW w:w="16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rsidR="00FB3918" w:rsidRDefault="00FB3918">
            <w:pPr>
              <w:spacing w:after="0" w:line="240" w:lineRule="auto"/>
              <w:rPr>
                <w:rFonts w:ascii="Calibri" w:eastAsia="Times New Roman" w:hAnsi="Calibri" w:cs="Calibri"/>
                <w:color w:val="000000"/>
              </w:rPr>
            </w:pP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trPr>
          <w:trHeight w:val="300"/>
        </w:trPr>
        <w:tc>
          <w:tcPr>
            <w:tcW w:w="3692"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4"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91539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rsidR="00FB3918" w:rsidRDefault="00FB3918">
      <w:pPr>
        <w:rPr>
          <w:rFonts w:ascii="Times New Roman" w:hAnsi="Times New Roman" w:cs="Times New Roman"/>
          <w:b/>
        </w:rPr>
      </w:pPr>
    </w:p>
    <w:p w:rsidR="00FB3918" w:rsidRDefault="00FB3918">
      <w:pPr>
        <w:rPr>
          <w:rFonts w:ascii="Times New Roman" w:hAnsi="Times New Roman" w:cs="Times New Roman"/>
          <w:b/>
        </w:rPr>
      </w:pPr>
    </w:p>
    <w:p w:rsidR="00FB3918" w:rsidRDefault="00FB3918">
      <w:pPr>
        <w:rPr>
          <w:rFonts w:ascii="Times New Roman" w:hAnsi="Times New Roman" w:cs="Times New Roman"/>
          <w:b/>
        </w:rPr>
      </w:pPr>
    </w:p>
    <w:sectPr w:rsidR="00FB391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39E" w:rsidRDefault="0091539E">
      <w:pPr>
        <w:spacing w:after="0" w:line="240" w:lineRule="auto"/>
      </w:pPr>
      <w:r>
        <w:separator/>
      </w:r>
    </w:p>
  </w:endnote>
  <w:endnote w:type="continuationSeparator" w:id="0">
    <w:p w:rsidR="0091539E" w:rsidRDefault="0091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455471"/>
      <w:docPartObj>
        <w:docPartGallery w:val="Page Numbers (Bottom of Page)"/>
        <w:docPartUnique/>
      </w:docPartObj>
    </w:sdtPr>
    <w:sdtEndPr>
      <w:rPr>
        <w:noProof/>
      </w:rPr>
    </w:sdtEndPr>
    <w:sdtContent>
      <w:p w:rsidR="00FB3918" w:rsidRDefault="0091539E">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FB3918" w:rsidRDefault="00FB3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39E" w:rsidRDefault="0091539E">
      <w:pPr>
        <w:spacing w:after="0" w:line="240" w:lineRule="auto"/>
      </w:pPr>
      <w:r>
        <w:separator/>
      </w:r>
    </w:p>
  </w:footnote>
  <w:footnote w:type="continuationSeparator" w:id="0">
    <w:p w:rsidR="0091539E" w:rsidRDefault="0091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918" w:rsidRDefault="0091539E">
    <w:pPr>
      <w:spacing w:line="240" w:lineRule="auto"/>
      <w:ind w:left="7200"/>
      <w:jc w:val="center"/>
      <w:rPr>
        <w:rFonts w:ascii="Times New Roman" w:eastAsia="Times New Roman" w:hAnsi="Times New Roman" w:cs="Times New Roman"/>
        <w:sz w:val="24"/>
        <w:szCs w:val="24"/>
      </w:rPr>
    </w:pPr>
    <w:r>
      <w:rPr>
        <w:rFonts w:ascii="Calibri" w:eastAsia="Times New Roman" w:hAnsi="Calibri" w:cs="Calibri"/>
        <w:color w:val="000000"/>
      </w:rPr>
      <w:t>Manning Worthley</w:t>
    </w:r>
  </w:p>
  <w:p w:rsidR="00FB3918" w:rsidRDefault="00FB3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70512"/>
    <w:multiLevelType w:val="multilevel"/>
    <w:tmpl w:val="91ACD77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F73CD"/>
    <w:multiLevelType w:val="multilevel"/>
    <w:tmpl w:val="85E06E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935BF6"/>
    <w:multiLevelType w:val="multilevel"/>
    <w:tmpl w:val="9062A1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CB5D01"/>
    <w:multiLevelType w:val="multilevel"/>
    <w:tmpl w:val="57C0EE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
    <w:abstractNumId w:val="1"/>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3"/>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18"/>
    <w:rsid w:val="003F3A51"/>
    <w:rsid w:val="006B6D13"/>
    <w:rsid w:val="0091539E"/>
    <w:rsid w:val="00AC1F85"/>
    <w:rsid w:val="00B41056"/>
    <w:rsid w:val="00D015CC"/>
    <w:rsid w:val="00DF4547"/>
    <w:rsid w:val="00E558F0"/>
    <w:rsid w:val="00EE35C1"/>
    <w:rsid w:val="00FB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E1E8"/>
  <w15:docId w15:val="{6B97C535-901C-4066-A01E-E5E0BC13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23572">
      <w:bodyDiv w:val="1"/>
      <w:marLeft w:val="0"/>
      <w:marRight w:val="0"/>
      <w:marTop w:val="0"/>
      <w:marBottom w:val="0"/>
      <w:divBdr>
        <w:top w:val="none" w:sz="0" w:space="0" w:color="auto"/>
        <w:left w:val="none" w:sz="0" w:space="0" w:color="auto"/>
        <w:bottom w:val="none" w:sz="0" w:space="0" w:color="auto"/>
        <w:right w:val="none" w:sz="0" w:space="0" w:color="auto"/>
      </w:divBdr>
    </w:div>
    <w:div w:id="466320671">
      <w:bodyDiv w:val="1"/>
      <w:marLeft w:val="0"/>
      <w:marRight w:val="0"/>
      <w:marTop w:val="0"/>
      <w:marBottom w:val="0"/>
      <w:divBdr>
        <w:top w:val="none" w:sz="0" w:space="0" w:color="auto"/>
        <w:left w:val="none" w:sz="0" w:space="0" w:color="auto"/>
        <w:bottom w:val="none" w:sz="0" w:space="0" w:color="auto"/>
        <w:right w:val="none" w:sz="0" w:space="0" w:color="auto"/>
      </w:divBdr>
    </w:div>
    <w:div w:id="612172274">
      <w:bodyDiv w:val="1"/>
      <w:marLeft w:val="0"/>
      <w:marRight w:val="0"/>
      <w:marTop w:val="0"/>
      <w:marBottom w:val="0"/>
      <w:divBdr>
        <w:top w:val="none" w:sz="0" w:space="0" w:color="auto"/>
        <w:left w:val="none" w:sz="0" w:space="0" w:color="auto"/>
        <w:bottom w:val="none" w:sz="0" w:space="0" w:color="auto"/>
        <w:right w:val="none" w:sz="0" w:space="0" w:color="auto"/>
      </w:divBdr>
    </w:div>
    <w:div w:id="686949878">
      <w:bodyDiv w:val="1"/>
      <w:marLeft w:val="0"/>
      <w:marRight w:val="0"/>
      <w:marTop w:val="0"/>
      <w:marBottom w:val="0"/>
      <w:divBdr>
        <w:top w:val="none" w:sz="0" w:space="0" w:color="auto"/>
        <w:left w:val="none" w:sz="0" w:space="0" w:color="auto"/>
        <w:bottom w:val="none" w:sz="0" w:space="0" w:color="auto"/>
        <w:right w:val="none" w:sz="0" w:space="0" w:color="auto"/>
      </w:divBdr>
      <w:divsChild>
        <w:div w:id="824399899">
          <w:marLeft w:val="0"/>
          <w:marRight w:val="0"/>
          <w:marTop w:val="0"/>
          <w:marBottom w:val="0"/>
          <w:divBdr>
            <w:top w:val="none" w:sz="0" w:space="0" w:color="auto"/>
            <w:left w:val="none" w:sz="0" w:space="0" w:color="auto"/>
            <w:bottom w:val="none" w:sz="0" w:space="0" w:color="auto"/>
            <w:right w:val="none" w:sz="0" w:space="0" w:color="auto"/>
          </w:divBdr>
        </w:div>
        <w:div w:id="341128557">
          <w:marLeft w:val="0"/>
          <w:marRight w:val="0"/>
          <w:marTop w:val="0"/>
          <w:marBottom w:val="0"/>
          <w:divBdr>
            <w:top w:val="none" w:sz="0" w:space="0" w:color="auto"/>
            <w:left w:val="none" w:sz="0" w:space="0" w:color="auto"/>
            <w:bottom w:val="none" w:sz="0" w:space="0" w:color="auto"/>
            <w:right w:val="none" w:sz="0" w:space="0" w:color="auto"/>
          </w:divBdr>
        </w:div>
      </w:divsChild>
    </w:div>
    <w:div w:id="1354071078">
      <w:bodyDiv w:val="1"/>
      <w:marLeft w:val="0"/>
      <w:marRight w:val="0"/>
      <w:marTop w:val="0"/>
      <w:marBottom w:val="0"/>
      <w:divBdr>
        <w:top w:val="none" w:sz="0" w:space="0" w:color="auto"/>
        <w:left w:val="none" w:sz="0" w:space="0" w:color="auto"/>
        <w:bottom w:val="none" w:sz="0" w:space="0" w:color="auto"/>
        <w:right w:val="none" w:sz="0" w:space="0" w:color="auto"/>
      </w:divBdr>
    </w:div>
    <w:div w:id="180997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A1657-9CB7-4698-90DB-34BA46FD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16</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 Worthley</cp:lastModifiedBy>
  <cp:revision>4</cp:revision>
  <cp:lastPrinted>2018-05-08T20:54:00Z</cp:lastPrinted>
  <dcterms:created xsi:type="dcterms:W3CDTF">2018-08-26T15:49:00Z</dcterms:created>
  <dcterms:modified xsi:type="dcterms:W3CDTF">2018-08-26T22:11:00Z</dcterms:modified>
</cp:coreProperties>
</file>