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R&amp;B ROOFING AND REMODELING</w:t>
      </w:r>
    </w:p>
    <w:p>
      <w:pPr>
        <w:pBdr>
          <w:bottom w:val="single" w:color="1F3A5F" w:sz="12" w:space="6"/>
        </w:pBdr>
        <w:spacing w:after="160"/>
      </w:pPr>
      <w:r>
        <w:rPr>
          <w:rFonts w:ascii="Calibri" w:cs="Calibri" w:eastAsia="Calibri" w:hAnsi="Calibri"/>
          <w:color w:val="595959"/>
          <w:sz w:val="18"/>
          <w:szCs w:val="18"/>
        </w:rPr>
        <w:t xml:space="preserve">3600 Chamberlain Lane, Suite 348, Louisville, KY 40241  •  (502) 678-1446  •  www.gottaberandb.com</w:t>
      </w:r>
    </w:p>
    <w:p>
      <w:pPr>
        <w:spacing w:after="200" w:before="120"/>
      </w:pPr>
      <w:r>
        <w:rPr>
          <w:rFonts w:ascii="Calibri" w:cs="Calibri" w:eastAsia="Calibri" w:hAnsi="Calibri"/>
          <w:b/>
          <w:bCs/>
          <w:color w:val="222222"/>
          <w:sz w:val="26"/>
          <w:szCs w:val="26"/>
        </w:rPr>
        <w:t xml:space="preserve">DESIGN CONSULTATION &amp; CONTINGENCY AGREEMENT</w:t>
      </w:r>
    </w:p>
    <w:p>
      <w:pPr>
        <w:spacing w:after="160"/>
        <w:jc w:val="both"/>
      </w:pPr>
      <w:r>
        <w:rPr>
          <w:rFonts w:ascii="Calibri" w:cs="Calibri" w:eastAsia="Calibri" w:hAnsi="Calibri"/>
          <w:color w:val="333333"/>
          <w:sz w:val="21"/>
          <w:szCs w:val="21"/>
        </w:rPr>
        <w:t xml:space="preserve">This Design Consultation &amp; Contingency Agreement (the "Agreement") is entered into as of ____________________, 20____, by and between R&amp;B Roofing and Remodeling ("Contractor"), of 3600 Chamberlain Lane, Suite 348, Louisville, KY 40241, and ____________________________________ ("Client"), regarding the property located at ____________________________________________________ (the "Property").</w:t>
      </w:r>
    </w:p>
    <w:p>
      <w:pPr>
        <w:keepNext/>
        <w:spacing w:after="60" w:before="180"/>
      </w:pPr>
      <w:r>
        <w:rPr>
          <w:rFonts w:ascii="Calibri" w:cs="Calibri" w:eastAsia="Calibri" w:hAnsi="Calibri"/>
          <w:b/>
          <w:bCs/>
          <w:color w:val="222222"/>
          <w:sz w:val="21"/>
          <w:szCs w:val="21"/>
        </w:rPr>
        <w:t xml:space="preserve">1. Scope of Design Consultation</w:t>
      </w:r>
    </w:p>
    <w:p>
      <w:pPr>
        <w:spacing w:after="80"/>
        <w:jc w:val="both"/>
      </w:pPr>
      <w:r>
        <w:rPr>
          <w:rFonts w:ascii="Calibri" w:cs="Calibri" w:eastAsia="Calibri" w:hAnsi="Calibri"/>
          <w:color w:val="333333"/>
          <w:sz w:val="21"/>
          <w:szCs w:val="21"/>
        </w:rPr>
        <w:t xml:space="preserve">Contractor will provide the following design consultation services (the "Services"):</w:t>
      </w:r>
    </w:p>
    <w:p>
      <w:pPr>
        <w:pStyle w:val="ListParagraph"/>
        <w:numPr>
          <w:ilvl w:val="0"/>
          <w:numId w:val="2"/>
        </w:numPr>
        <w:spacing w:after="60"/>
      </w:pPr>
      <w:r>
        <w:rPr>
          <w:rFonts w:ascii="Calibri" w:cs="Calibri" w:eastAsia="Calibri" w:hAnsi="Calibri"/>
          <w:color w:val="333333"/>
          <w:sz w:val="21"/>
          <w:szCs w:val="21"/>
        </w:rPr>
        <w:t xml:space="preserve">On-site evaluation of the Property, including existing conditions relevant to the proposed work.</w:t>
      </w:r>
    </w:p>
    <w:p>
      <w:pPr>
        <w:pStyle w:val="ListParagraph"/>
        <w:numPr>
          <w:ilvl w:val="0"/>
          <w:numId w:val="2"/>
        </w:numPr>
        <w:spacing w:after="60"/>
      </w:pPr>
      <w:r>
        <w:rPr>
          <w:rFonts w:ascii="Calibri" w:cs="Calibri" w:eastAsia="Calibri" w:hAnsi="Calibri"/>
          <w:color w:val="333333"/>
          <w:sz w:val="21"/>
          <w:szCs w:val="21"/>
        </w:rPr>
        <w:t xml:space="preserve">Review of Client-provided sketches, plans, and reference materials.</w:t>
      </w:r>
    </w:p>
    <w:p>
      <w:pPr>
        <w:pStyle w:val="ListParagraph"/>
        <w:numPr>
          <w:ilvl w:val="0"/>
          <w:numId w:val="2"/>
        </w:numPr>
        <w:spacing w:after="60"/>
      </w:pPr>
      <w:r>
        <w:rPr>
          <w:rFonts w:ascii="Calibri" w:cs="Calibri" w:eastAsia="Calibri" w:hAnsi="Calibri"/>
          <w:color w:val="333333"/>
          <w:sz w:val="21"/>
          <w:szCs w:val="21"/>
        </w:rPr>
        <w:t xml:space="preserve">Collaborative concept development addressing functionality and aesthetics.</w:t>
      </w:r>
    </w:p>
    <w:p>
      <w:pPr>
        <w:pStyle w:val="ListParagraph"/>
        <w:numPr>
          <w:ilvl w:val="0"/>
          <w:numId w:val="2"/>
        </w:numPr>
        <w:spacing w:after="60"/>
      </w:pPr>
      <w:r>
        <w:rPr>
          <w:rFonts w:ascii="Calibri" w:cs="Calibri" w:eastAsia="Calibri" w:hAnsi="Calibri"/>
          <w:color w:val="333333"/>
          <w:sz w:val="21"/>
          <w:szCs w:val="21"/>
        </w:rPr>
        <w:t xml:space="preserve">A written preliminary scope of work and budget-range estimate.</w:t>
      </w:r>
    </w:p>
    <w:p>
      <w:pPr>
        <w:pStyle w:val="ListParagraph"/>
        <w:numPr>
          <w:ilvl w:val="0"/>
          <w:numId w:val="2"/>
        </w:numPr>
        <w:spacing w:after="60"/>
      </w:pPr>
      <w:r>
        <w:rPr>
          <w:rFonts w:ascii="Calibri" w:cs="Calibri" w:eastAsia="Calibri" w:hAnsi="Calibri"/>
          <w:color w:val="333333"/>
          <w:sz w:val="21"/>
          <w:szCs w:val="21"/>
        </w:rPr>
        <w:t xml:space="preserve">A written design proposal for the project, delivered within ______ business days of the site visit.</w:t>
      </w:r>
    </w:p>
    <w:p>
      <w:pPr>
        <w:keepNext/>
        <w:spacing w:after="60" w:before="180"/>
      </w:pPr>
      <w:r>
        <w:rPr>
          <w:rFonts w:ascii="Calibri" w:cs="Calibri" w:eastAsia="Calibri" w:hAnsi="Calibri"/>
          <w:b/>
          <w:bCs/>
          <w:color w:val="222222"/>
          <w:sz w:val="21"/>
          <w:szCs w:val="21"/>
        </w:rPr>
        <w:t xml:space="preserve">2. Consultation Fee &amp; Credit</w:t>
      </w:r>
    </w:p>
    <w:p>
      <w:pPr>
        <w:spacing w:after="80"/>
        <w:jc w:val="both"/>
      </w:pPr>
      <w:r>
        <w:rPr>
          <w:rFonts w:ascii="Calibri" w:cs="Calibri" w:eastAsia="Calibri" w:hAnsi="Calibri"/>
          <w:color w:val="333333"/>
          <w:sz w:val="21"/>
          <w:szCs w:val="21"/>
        </w:rPr>
        <w:t xml:space="preserve">Client agrees to pay a design consultation fee of $____________, due ______________________. If Client and Contractor execute a construction contract for the project within ninety (90) days of delivery of the design proposal, one hundred percent (100%) of the consultation fee will be credited against the contract price. The consultation fee is otherwise non-refundable once the Services have been performed, except as provided in Section 8 (Right to Cancel).</w:t>
      </w:r>
    </w:p>
    <w:p>
      <w:pPr>
        <w:keepNext/>
        <w:spacing w:after="60" w:before="180"/>
      </w:pPr>
      <w:r>
        <w:rPr>
          <w:rFonts w:ascii="Calibri" w:cs="Calibri" w:eastAsia="Calibri" w:hAnsi="Calibri"/>
          <w:b/>
          <w:bCs/>
          <w:color w:val="222222"/>
          <w:sz w:val="21"/>
          <w:szCs w:val="21"/>
        </w:rPr>
        <w:t xml:space="preserve">3. Contingency — No Construction Obligation</w:t>
      </w:r>
    </w:p>
    <w:p>
      <w:pPr>
        <w:spacing w:after="80"/>
        <w:jc w:val="both"/>
      </w:pPr>
      <w:r>
        <w:rPr>
          <w:rFonts w:ascii="Calibri" w:cs="Calibri" w:eastAsia="Calibri" w:hAnsi="Calibri"/>
          <w:color w:val="333333"/>
          <w:sz w:val="21"/>
          <w:szCs w:val="21"/>
        </w:rPr>
        <w:t xml:space="preserve">This Agreement covers design consultation services only. Neither party is obligated to proceed with construction under this Agreement. Any construction work will be governed by a separate written construction contract, and any obligation to proceed is contingent upon each of the following:</w:t>
      </w:r>
    </w:p>
    <w:p>
      <w:pPr>
        <w:pStyle w:val="ListParagraph"/>
        <w:numPr>
          <w:ilvl w:val="0"/>
          <w:numId w:val="2"/>
        </w:numPr>
        <w:spacing w:after="60"/>
      </w:pPr>
      <w:r>
        <w:rPr>
          <w:rFonts w:ascii="Calibri" w:cs="Calibri" w:eastAsia="Calibri" w:hAnsi="Calibri"/>
          <w:color w:val="333333"/>
          <w:sz w:val="21"/>
          <w:szCs w:val="21"/>
        </w:rPr>
        <w:t xml:space="preserve">Client's written approval of the final scope of work and price.</w:t>
      </w:r>
    </w:p>
    <w:p>
      <w:pPr>
        <w:pStyle w:val="ListParagraph"/>
        <w:numPr>
          <w:ilvl w:val="0"/>
          <w:numId w:val="2"/>
        </w:numPr>
        <w:spacing w:after="60"/>
      </w:pPr>
      <w:r>
        <w:rPr>
          <w:rFonts w:ascii="Calibri" w:cs="Calibri" w:eastAsia="Calibri" w:hAnsi="Calibri"/>
          <w:color w:val="333333"/>
          <w:sz w:val="21"/>
          <w:szCs w:val="21"/>
        </w:rPr>
        <w:t xml:space="preserve">Approval of financing, if Client elects to finance the project.</w:t>
      </w:r>
    </w:p>
    <w:p>
      <w:pPr>
        <w:pStyle w:val="ListParagraph"/>
        <w:numPr>
          <w:ilvl w:val="0"/>
          <w:numId w:val="2"/>
        </w:numPr>
        <w:spacing w:after="60"/>
      </w:pPr>
      <w:r>
        <w:rPr>
          <w:rFonts w:ascii="Calibri" w:cs="Calibri" w:eastAsia="Calibri" w:hAnsi="Calibri"/>
          <w:color w:val="333333"/>
          <w:sz w:val="21"/>
          <w:szCs w:val="21"/>
        </w:rPr>
        <w:t xml:space="preserve">Insurance carrier approval of any claim-funded portion of the work, if applicable.</w:t>
      </w:r>
    </w:p>
    <w:p>
      <w:pPr>
        <w:pStyle w:val="ListParagraph"/>
        <w:numPr>
          <w:ilvl w:val="0"/>
          <w:numId w:val="2"/>
        </w:numPr>
        <w:spacing w:after="60"/>
      </w:pPr>
      <w:r>
        <w:rPr>
          <w:rFonts w:ascii="Calibri" w:cs="Calibri" w:eastAsia="Calibri" w:hAnsi="Calibri"/>
          <w:color w:val="333333"/>
          <w:sz w:val="21"/>
          <w:szCs w:val="21"/>
        </w:rPr>
        <w:t xml:space="preserve">Issuance of all required permits and any HOA or landlord approvals.</w:t>
      </w:r>
    </w:p>
    <w:p>
      <w:pPr>
        <w:spacing w:after="80"/>
        <w:jc w:val="both"/>
      </w:pPr>
      <w:r>
        <w:rPr>
          <w:rFonts w:ascii="Calibri" w:cs="Calibri" w:eastAsia="Calibri" w:hAnsi="Calibri"/>
          <w:color w:val="333333"/>
          <w:sz w:val="21"/>
          <w:szCs w:val="21"/>
        </w:rPr>
        <w:t xml:space="preserve">If any contingency is not satisfied, neither party has any further obligation except payment for Services already performed.</w:t>
      </w:r>
    </w:p>
    <w:p>
      <w:pPr>
        <w:keepNext/>
        <w:spacing w:after="60" w:before="180"/>
      </w:pPr>
      <w:r>
        <w:rPr>
          <w:rFonts w:ascii="Calibri" w:cs="Calibri" w:eastAsia="Calibri" w:hAnsi="Calibri"/>
          <w:b/>
          <w:bCs/>
          <w:color w:val="222222"/>
          <w:sz w:val="21"/>
          <w:szCs w:val="21"/>
        </w:rPr>
        <w:t xml:space="preserve">4. Insurance Contingency (if applicable)</w:t>
      </w:r>
    </w:p>
    <w:p>
      <w:pPr>
        <w:spacing w:after="80"/>
        <w:jc w:val="both"/>
      </w:pPr>
      <w:r>
        <w:rPr>
          <w:rFonts w:ascii="Calibri" w:cs="Calibri" w:eastAsia="Calibri" w:hAnsi="Calibri"/>
          <w:color w:val="333333"/>
          <w:sz w:val="21"/>
          <w:szCs w:val="21"/>
        </w:rPr>
        <w:t xml:space="preserve">If any portion of the project will be funded by a property insurance claim: Client authorizes Contractor to meet with Client's insurance adjuster and to discuss the scope of damage and repair. If the insurance carrier approves the claim, Client agrees to contract with Contractor for the approved scope of work at a price equal to the insurance proceeds plus Client's deductible and any Client-selected upgrades. If the carrier denies the claim, this insurance contingency is void and Client owes nothing for the claim-related inspection. Nothing in this Agreement is a promise to pay, waive, or rebate any insurance deductible; Kentucky law prohibits rebating deductibles.</w:t>
      </w:r>
    </w:p>
    <w:p>
      <w:pPr>
        <w:keepNext/>
        <w:spacing w:after="60" w:before="180"/>
      </w:pPr>
      <w:r>
        <w:rPr>
          <w:rFonts w:ascii="Calibri" w:cs="Calibri" w:eastAsia="Calibri" w:hAnsi="Calibri"/>
          <w:b/>
          <w:bCs/>
          <w:color w:val="222222"/>
          <w:sz w:val="21"/>
          <w:szCs w:val="21"/>
        </w:rPr>
        <w:t xml:space="preserve">5. Ownership of Design Materials</w:t>
      </w:r>
    </w:p>
    <w:p>
      <w:pPr>
        <w:spacing w:after="80"/>
        <w:jc w:val="both"/>
      </w:pPr>
      <w:r>
        <w:rPr>
          <w:rFonts w:ascii="Calibri" w:cs="Calibri" w:eastAsia="Calibri" w:hAnsi="Calibri"/>
          <w:color w:val="333333"/>
          <w:sz w:val="21"/>
          <w:szCs w:val="21"/>
        </w:rPr>
        <w:t xml:space="preserve">All drawings, concepts, and proposals prepared by Contractor remain Contractor's property until the consultation fee is paid in full. Client may not use Contractor's design materials to obtain construction services from a third party unless the consultation fee has been paid.</w:t>
      </w:r>
    </w:p>
    <w:p>
      <w:pPr>
        <w:keepNext/>
        <w:spacing w:after="60" w:before="180"/>
      </w:pPr>
      <w:r>
        <w:rPr>
          <w:rFonts w:ascii="Calibri" w:cs="Calibri" w:eastAsia="Calibri" w:hAnsi="Calibri"/>
          <w:b/>
          <w:bCs/>
          <w:color w:val="222222"/>
          <w:sz w:val="21"/>
          <w:szCs w:val="21"/>
        </w:rPr>
        <w:t xml:space="preserve">6. Client Responsibilities</w:t>
      </w:r>
    </w:p>
    <w:p>
      <w:pPr>
        <w:spacing w:after="80"/>
        <w:jc w:val="both"/>
      </w:pPr>
      <w:r>
        <w:rPr>
          <w:rFonts w:ascii="Calibri" w:cs="Calibri" w:eastAsia="Calibri" w:hAnsi="Calibri"/>
          <w:color w:val="333333"/>
          <w:sz w:val="21"/>
          <w:szCs w:val="21"/>
        </w:rPr>
        <w:t xml:space="preserve">Client will provide reasonable access to the Property, accurate information about ownership and known conditions (including any known hazardous materials), and timely responses to design questions. Client represents that Client is the owner of the Property or is authorized by the owner to commission the Services.</w:t>
      </w:r>
    </w:p>
    <w:p>
      <w:pPr>
        <w:keepNext/>
        <w:spacing w:after="60" w:before="180"/>
      </w:pPr>
      <w:r>
        <w:rPr>
          <w:rFonts w:ascii="Calibri" w:cs="Calibri" w:eastAsia="Calibri" w:hAnsi="Calibri"/>
          <w:b/>
          <w:bCs/>
          <w:color w:val="222222"/>
          <w:sz w:val="21"/>
          <w:szCs w:val="21"/>
        </w:rPr>
        <w:t xml:space="preserve">7. Estimates; No Guarantee</w:t>
      </w:r>
    </w:p>
    <w:p>
      <w:pPr>
        <w:spacing w:after="80"/>
        <w:jc w:val="both"/>
      </w:pPr>
      <w:r>
        <w:rPr>
          <w:rFonts w:ascii="Calibri" w:cs="Calibri" w:eastAsia="Calibri" w:hAnsi="Calibri"/>
          <w:color w:val="333333"/>
          <w:sz w:val="21"/>
          <w:szCs w:val="21"/>
        </w:rPr>
        <w:t xml:space="preserve">Budget ranges and preliminary estimates provided during the consultation are good-faith approximations based on information available at the time. They are not fixed bids. Final pricing will be set only in a written construction contract.</w:t>
      </w:r>
    </w:p>
    <w:p>
      <w:pPr>
        <w:keepNext/>
        <w:spacing w:after="60" w:before="180"/>
      </w:pPr>
      <w:r>
        <w:rPr>
          <w:rFonts w:ascii="Calibri" w:cs="Calibri" w:eastAsia="Calibri" w:hAnsi="Calibri"/>
          <w:b/>
          <w:bCs/>
          <w:color w:val="222222"/>
          <w:sz w:val="21"/>
          <w:szCs w:val="21"/>
        </w:rPr>
        <w:t xml:space="preserve">8. Right to Cancel</w:t>
      </w:r>
    </w:p>
    <w:p>
      <w:pPr>
        <w:spacing w:after="80"/>
        <w:jc w:val="both"/>
      </w:pPr>
      <w:r>
        <w:rPr>
          <w:rFonts w:ascii="Calibri" w:cs="Calibri" w:eastAsia="Calibri" w:hAnsi="Calibri"/>
          <w:color w:val="333333"/>
          <w:sz w:val="21"/>
          <w:szCs w:val="21"/>
        </w:rPr>
        <w:t xml:space="preserve">CLIENT MAY CANCEL THIS AGREEMENT AT ANY TIME PRIOR TO MIDNIGHT OF THE THIRD BUSINESS DAY AFTER THE DATE OF THIS TRANSACTION. To cancel, deliver or mail a signed and dated written notice of cancellation to Contractor at the address above. If Client cancels within this period, any payments made will be refunded within ten (10) business days.</w:t>
      </w:r>
    </w:p>
    <w:p>
      <w:pPr>
        <w:keepNext/>
        <w:spacing w:after="60" w:before="180"/>
      </w:pPr>
      <w:r>
        <w:rPr>
          <w:rFonts w:ascii="Calibri" w:cs="Calibri" w:eastAsia="Calibri" w:hAnsi="Calibri"/>
          <w:b/>
          <w:bCs/>
          <w:color w:val="222222"/>
          <w:sz w:val="21"/>
          <w:szCs w:val="21"/>
        </w:rPr>
        <w:t xml:space="preserve">9. General Terms</w:t>
      </w:r>
    </w:p>
    <w:p>
      <w:pPr>
        <w:spacing w:after="80"/>
        <w:jc w:val="both"/>
      </w:pPr>
      <w:r>
        <w:rPr>
          <w:rFonts w:ascii="Calibri" w:cs="Calibri" w:eastAsia="Calibri" w:hAnsi="Calibri"/>
          <w:color w:val="333333"/>
          <w:sz w:val="21"/>
          <w:szCs w:val="21"/>
        </w:rPr>
        <w:t xml:space="preserve">This Agreement is governed by the laws of the Commonwealth of Kentucky. Any dispute will first be submitted to good-faith negotiation between the parties. This Agreement is the entire agreement regarding the consultation Services and may be amended only in a writing signed by both parties.</w:t>
      </w:r>
    </w:p>
    <w:p>
      <w:pPr>
        <w:spacing w:before="120"/>
      </w:pPr>
      <w:r>
        <w:rPr>
          <w:rFonts w:ascii="Calibri" w:cs="Calibri" w:eastAsia="Calibri" w:hAnsi="Calibri"/>
          <w:color w:val="333333"/>
          <w:sz w:val="21"/>
          <w:szCs w:val="21"/>
        </w:rPr>
        <w:t xml:space="preserve"> </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900"/>
        <w:gridCol w:w="4900"/>
      </w:tblGrid>
      <w:tr>
        <w:tc>
          <w:tcPr>
            <w:tcW w:type="dxa" w:w="4900"/>
            <w:tcBorders>
              <w:top w:val="none" w:color="FFFFFF" w:sz="0"/>
              <w:left w:val="none" w:color="FFFFFF" w:sz="0"/>
              <w:bottom w:val="none" w:color="FFFFFF" w:sz="0"/>
              <w:right w:val="none" w:color="FFFFFF" w:sz="0"/>
            </w:tcBorders>
            <w:tcMar>
              <w:top w:type="dxa" w:w="60"/>
              <w:bottom w:type="dxa" w:w="60"/>
              <w:right w:type="dxa" w:w="240"/>
            </w:tcMar>
          </w:tcPr>
          <w:p>
            <w:pPr>
              <w:pBdr>
                <w:bottom w:val="single" w:color="333333" w:sz="6" w:space="1"/>
              </w:pBdr>
              <w:spacing w:before="360"/>
            </w:pPr>
            <w:r>
              <w:rPr>
                <w:rFonts w:ascii="Calibri" w:cs="Calibri" w:eastAsia="Calibri" w:hAnsi="Calibri"/>
                <w:color w:val="333333"/>
                <w:sz w:val="21"/>
                <w:szCs w:val="21"/>
              </w:rPr>
              <w:t xml:space="preserve"> </w:t>
            </w:r>
          </w:p>
          <w:p>
            <w:pPr>
              <w:spacing w:before="60"/>
            </w:pPr>
            <w:r>
              <w:rPr>
                <w:rFonts w:ascii="Calibri" w:cs="Calibri" w:eastAsia="Calibri" w:hAnsi="Calibri"/>
                <w:b/>
                <w:bCs/>
                <w:color w:val="333333"/>
                <w:sz w:val="19"/>
                <w:szCs w:val="19"/>
              </w:rPr>
              <w:t xml:space="preserve">Client Signature</w:t>
            </w:r>
          </w:p>
          <w:p>
            <w:r>
              <w:rPr>
                <w:rFonts w:ascii="Calibri" w:cs="Calibri" w:eastAsia="Calibri" w:hAnsi="Calibri"/>
                <w:color w:val="595959"/>
                <w:sz w:val="19"/>
                <w:szCs w:val="19"/>
              </w:rPr>
              <w:t xml:space="preserve">Name: </w:t>
            </w:r>
          </w:p>
          <w:p>
            <w:pPr>
              <w:spacing w:after="120"/>
            </w:pPr>
            <w:r>
              <w:rPr>
                <w:rFonts w:ascii="Calibri" w:cs="Calibri" w:eastAsia="Calibri" w:hAnsi="Calibri"/>
                <w:color w:val="595959"/>
                <w:sz w:val="19"/>
                <w:szCs w:val="19"/>
              </w:rPr>
              <w:t xml:space="preserve">Date: </w:t>
            </w:r>
          </w:p>
        </w:tc>
        <w:tc>
          <w:tcPr>
            <w:tcW w:type="dxa" w:w="4900"/>
            <w:tcBorders>
              <w:top w:val="none" w:color="FFFFFF" w:sz="0"/>
              <w:left w:val="none" w:color="FFFFFF" w:sz="0"/>
              <w:bottom w:val="none" w:color="FFFFFF" w:sz="0"/>
              <w:right w:val="none" w:color="FFFFFF" w:sz="0"/>
            </w:tcBorders>
            <w:tcMar>
              <w:top w:type="dxa" w:w="60"/>
              <w:bottom w:type="dxa" w:w="60"/>
              <w:right w:type="dxa" w:w="240"/>
            </w:tcMar>
          </w:tcPr>
          <w:p>
            <w:pPr>
              <w:pBdr>
                <w:bottom w:val="single" w:color="333333" w:sz="6" w:space="1"/>
              </w:pBdr>
              <w:spacing w:before="360"/>
            </w:pPr>
            <w:r>
              <w:rPr>
                <w:rFonts w:ascii="Calibri" w:cs="Calibri" w:eastAsia="Calibri" w:hAnsi="Calibri"/>
                <w:color w:val="333333"/>
                <w:sz w:val="21"/>
                <w:szCs w:val="21"/>
              </w:rPr>
              <w:t xml:space="preserve"> </w:t>
            </w:r>
          </w:p>
          <w:p>
            <w:pPr>
              <w:spacing w:before="60"/>
            </w:pPr>
            <w:r>
              <w:rPr>
                <w:rFonts w:ascii="Calibri" w:cs="Calibri" w:eastAsia="Calibri" w:hAnsi="Calibri"/>
                <w:b/>
                <w:bCs/>
                <w:color w:val="333333"/>
                <w:sz w:val="19"/>
                <w:szCs w:val="19"/>
              </w:rPr>
              <w:t xml:space="preserve">R&amp;B Roofing and Remodeling — By</w:t>
            </w:r>
          </w:p>
          <w:p>
            <w:r>
              <w:rPr>
                <w:rFonts w:ascii="Calibri" w:cs="Calibri" w:eastAsia="Calibri" w:hAnsi="Calibri"/>
                <w:color w:val="595959"/>
                <w:sz w:val="19"/>
                <w:szCs w:val="19"/>
              </w:rPr>
              <w:t xml:space="preserve">Name: </w:t>
            </w:r>
          </w:p>
          <w:p>
            <w:pPr>
              <w:spacing w:after="120"/>
            </w:pPr>
            <w:r>
              <w:rPr>
                <w:rFonts w:ascii="Calibri" w:cs="Calibri" w:eastAsia="Calibri" w:hAnsi="Calibri"/>
                <w:color w:val="595959"/>
                <w:sz w:val="19"/>
                <w:szCs w:val="19"/>
              </w:rPr>
              <w:t xml:space="preserve">Date: </w:t>
            </w:r>
          </w:p>
        </w:tc>
      </w:tr>
    </w:tbl>
    <w:p>
      <w:pPr>
        <w:spacing w:before="200"/>
      </w:pPr>
      <w:r>
        <w:rPr>
          <w:rFonts w:ascii="Calibri" w:cs="Calibri" w:eastAsia="Calibri" w:hAnsi="Calibri"/>
          <w:i/>
          <w:iCs/>
          <w:color w:val="595959"/>
          <w:sz w:val="16"/>
          <w:szCs w:val="16"/>
        </w:rPr>
        <w:t xml:space="preserve">Template for internal business use. This document is not legal advice; have it reviewed by a Kentucky-licensed attorney before relying on it.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2026-08-11T16:28:34.521Z</dcterms:created>
  <dcterms:modified xsi:type="dcterms:W3CDTF">2026-08-11T16:28:34.521Z</dcterms:modified>
</cp:coreProperties>
</file>

<file path=docProps/custom.xml><?xml version="1.0" encoding="utf-8"?>
<Properties xmlns="http://schemas.openxmlformats.org/officeDocument/2006/custom-properties" xmlns:vt="http://schemas.openxmlformats.org/officeDocument/2006/docPropsVTypes"/>
</file>