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E293B"/>
          <w:sz w:val="52"/>
        </w:rPr>
        <w:t>PREMISSAS, PRÉ-REQUISITOS</w:t>
        <w:br/>
        <w:t>E CRONOGRAMA DO PROJETO</w:t>
      </w:r>
    </w:p>
    <w:p>
      <w:pPr>
        <w:jc w:val="center"/>
      </w:pPr>
      <w:r>
        <w:rPr>
          <w:color w:val="0078D4"/>
          <w:sz w:val="32"/>
        </w:rPr>
        <w:t>Implementação de Esteira DevSecOps</w:t>
        <w:br/>
        <w:t>Azure DevOps (ADO)</w:t>
      </w:r>
    </w:p>
    <w:p/>
    <w:p>
      <w:pPr>
        <w:jc w:val="center"/>
      </w:pPr>
      <w:r>
        <w:rPr>
          <w:color w:val="CCCCCC"/>
        </w:rPr>
        <w:t>____________________________________________________________</w:t>
      </w:r>
    </w:p>
    <w:p/>
    <w:p>
      <w:pPr>
        <w:jc w:val="center"/>
      </w:pPr>
      <w:r>
        <w:rPr>
          <w:color w:val="666666"/>
          <w:sz w:val="22"/>
        </w:rPr>
        <w:t xml:space="preserve">Cliente: </w:t>
      </w:r>
      <w:r>
        <w:rPr>
          <w:b/>
          <w:color w:val="1E293B"/>
          <w:sz w:val="22"/>
        </w:rPr>
        <w:t>BAT Latam South (Souza Cruz)</w:t>
      </w:r>
    </w:p>
    <w:p>
      <w:pPr>
        <w:jc w:val="center"/>
      </w:pPr>
      <w:r>
        <w:rPr>
          <w:color w:val="666666"/>
          <w:sz w:val="22"/>
        </w:rPr>
        <w:t xml:space="preserve">Referência: </w:t>
      </w:r>
      <w:r>
        <w:rPr>
          <w:b/>
          <w:color w:val="1E293B"/>
          <w:sz w:val="22"/>
        </w:rPr>
        <w:t>PT-BAT-DEVSECOPS-2026-001</w:t>
      </w:r>
    </w:p>
    <w:p>
      <w:pPr>
        <w:jc w:val="center"/>
      </w:pPr>
      <w:r>
        <w:rPr>
          <w:color w:val="666666"/>
          <w:sz w:val="22"/>
        </w:rPr>
        <w:t xml:space="preserve">Data: </w:t>
      </w:r>
      <w:r>
        <w:rPr>
          <w:b/>
          <w:color w:val="1E293B"/>
          <w:sz w:val="22"/>
        </w:rPr>
        <w:t>Junho de 2026</w:t>
      </w:r>
    </w:p>
    <w:p>
      <w:pPr>
        <w:jc w:val="center"/>
      </w:pPr>
      <w:r>
        <w:rPr>
          <w:color w:val="666666"/>
          <w:sz w:val="22"/>
        </w:rPr>
        <w:t xml:space="preserve">Esforço Total: </w:t>
      </w:r>
      <w:r>
        <w:rPr>
          <w:b/>
          <w:color w:val="1E293B"/>
          <w:sz w:val="22"/>
        </w:rPr>
        <w:t>700 horas</w:t>
      </w:r>
    </w:p>
    <w:p>
      <w:pPr>
        <w:jc w:val="center"/>
      </w:pPr>
      <w:r>
        <w:rPr>
          <w:color w:val="666666"/>
          <w:sz w:val="22"/>
        </w:rPr>
        <w:t xml:space="preserve">Duração: </w:t>
      </w:r>
      <w:r>
        <w:rPr>
          <w:b/>
          <w:color w:val="1E293B"/>
          <w:sz w:val="22"/>
        </w:rPr>
        <w:t>15 semanas</w:t>
      </w:r>
    </w:p>
    <w:p/>
    <w:p/>
    <w:p/>
    <w:p/>
    <w:p>
      <w:pPr>
        <w:jc w:val="center"/>
      </w:pPr>
      <w:r>
        <w:rPr>
          <w:b/>
          <w:color w:val="CC0000"/>
          <w:sz w:val="20"/>
        </w:rPr>
        <w:t>CONFIDENCIAL</w:t>
      </w:r>
    </w:p>
    <w:p>
      <w:r>
        <w:br w:type="page"/>
      </w:r>
    </w:p>
    <w:p>
      <w:pPr>
        <w:pStyle w:val="Heading1"/>
      </w:pPr>
      <w:r>
        <w:t>Parte 1: Pré-Requisitos para Execução do Projeto</w:t>
      </w:r>
    </w:p>
    <w:p>
      <w:r>
        <w:t>Para que o fornecedor consiga implementar e construir a esteira DevSecOps, os seguintes itens precisam ser fornecidos ou garantidos pela BAT:</w:t>
      </w:r>
    </w:p>
    <w:p>
      <w:pPr>
        <w:pStyle w:val="Heading2"/>
      </w:pPr>
      <w:r>
        <w:t>1.1 Para Iniciar o Projeto (Fase 0 — Kick-off)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E293B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1881"/>
            <w:shd w:fill="1E293B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Pré-Requisito</w:t>
            </w:r>
          </w:p>
        </w:tc>
        <w:tc>
          <w:tcPr>
            <w:tcW w:type="dxa" w:w="1881"/>
            <w:shd w:fill="1E293B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Responsável</w:t>
            </w:r>
          </w:p>
        </w:tc>
        <w:tc>
          <w:tcPr>
            <w:tcW w:type="dxa" w:w="1881"/>
            <w:shd w:fill="1E293B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Prazo</w:t>
            </w:r>
          </w:p>
        </w:tc>
        <w:tc>
          <w:tcPr>
            <w:tcW w:type="dxa" w:w="1881"/>
            <w:shd w:fill="1E293B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Se não fornecer...</w:t>
            </w:r>
          </w:p>
        </w:tc>
      </w:tr>
      <w:tr>
        <w:tc>
          <w:tcPr>
            <w:tcW w:type="dxa" w:w="188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88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Acessos de Nível 3 no Azure DevOps (repositórios, pipelines, builds)</w:t>
            </w:r>
          </w:p>
        </w:tc>
        <w:tc>
          <w:tcPr>
            <w:tcW w:type="dxa" w:w="188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BAT LATAM</w:t>
            </w:r>
          </w:p>
        </w:tc>
        <w:tc>
          <w:tcPr>
            <w:tcW w:type="dxa" w:w="188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5 dias úteis após kick-off</w:t>
            </w:r>
          </w:p>
        </w:tc>
        <w:tc>
          <w:tcPr>
            <w:tcW w:type="dxa" w:w="188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Bloqueia todo o projeto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SPOC técnico designado com mínimo 4h/semana de disponibilidade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BAT LATAM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No kick-off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Sem interlocutor, projeto trava</w:t>
            </w:r>
          </w:p>
        </w:tc>
      </w:tr>
      <w:tr>
        <w:tc>
          <w:tcPr>
            <w:tcW w:type="dxa" w:w="188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88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Definição da aplicação de referência (qual app será a primeira esteira)</w:t>
            </w:r>
          </w:p>
        </w:tc>
        <w:tc>
          <w:tcPr>
            <w:tcW w:type="dxa" w:w="188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BAT LATAM</w:t>
            </w:r>
          </w:p>
        </w:tc>
        <w:tc>
          <w:tcPr>
            <w:tcW w:type="dxa" w:w="188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No kick-off</w:t>
            </w:r>
          </w:p>
        </w:tc>
        <w:tc>
          <w:tcPr>
            <w:tcW w:type="dxa" w:w="188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Sem saber o que construir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Definição das APIs externas reais (Serasa? Sefaz? SF? SAP?)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BAT LATAM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Na Fase 0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Integração fica genérica demais</w:t>
            </w:r>
          </w:p>
        </w:tc>
      </w:tr>
      <w:tr>
        <w:tc>
          <w:tcPr>
            <w:tcW w:type="dxa" w:w="188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188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Definição de ambientes: UAT+PRD ou UAT+REG+PRD</w:t>
            </w:r>
          </w:p>
        </w:tc>
        <w:tc>
          <w:tcPr>
            <w:tcW w:type="dxa" w:w="188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BAT LATAM</w:t>
            </w:r>
          </w:p>
        </w:tc>
        <w:tc>
          <w:tcPr>
            <w:tcW w:type="dxa" w:w="188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Na Fase 0</w:t>
            </w:r>
          </w:p>
        </w:tc>
        <w:tc>
          <w:tcPr>
            <w:tcW w:type="dxa" w:w="188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Pipelines de deploy não configuráveis</w:t>
            </w:r>
          </w:p>
        </w:tc>
      </w:tr>
    </w:tbl>
    <w:p>
      <w:pPr>
        <w:pStyle w:val="Heading2"/>
      </w:pPr>
      <w:r>
        <w:t>1.2 Para Construir a Esteira (Fases 1 a 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E293B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1881"/>
            <w:shd w:fill="1E293B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Pré-Requisito</w:t>
            </w:r>
          </w:p>
        </w:tc>
        <w:tc>
          <w:tcPr>
            <w:tcW w:type="dxa" w:w="1881"/>
            <w:shd w:fill="1E293B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Responsável</w:t>
            </w:r>
          </w:p>
        </w:tc>
        <w:tc>
          <w:tcPr>
            <w:tcW w:type="dxa" w:w="1881"/>
            <w:shd w:fill="1E293B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Quando</w:t>
            </w:r>
          </w:p>
        </w:tc>
        <w:tc>
          <w:tcPr>
            <w:tcW w:type="dxa" w:w="1881"/>
            <w:shd w:fill="1E293B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Se não fornecer...</w:t>
            </w:r>
          </w:p>
        </w:tc>
      </w:tr>
      <w:tr>
        <w:tc>
          <w:tcPr>
            <w:tcW w:type="dxa" w:w="188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188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Instância SonarQube/SonarCloud corporativa ativa e acessível</w:t>
            </w:r>
          </w:p>
        </w:tc>
        <w:tc>
          <w:tcPr>
            <w:tcW w:type="dxa" w:w="188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BAT</w:t>
            </w:r>
          </w:p>
        </w:tc>
        <w:tc>
          <w:tcPr>
            <w:tcW w:type="dxa" w:w="188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Fase 2</w:t>
            </w:r>
          </w:p>
        </w:tc>
        <w:tc>
          <w:tcPr>
            <w:tcW w:type="dxa" w:w="188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Quality Gates e análise de código inviáveis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Quality Gates corporativos definidos pelo time BAT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BAT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Fase 2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Usaremos sugestões complementares, sem padrão oficial</w:t>
            </w:r>
          </w:p>
        </w:tc>
      </w:tr>
      <w:tr>
        <w:tc>
          <w:tcPr>
            <w:tcW w:type="dxa" w:w="188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188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Licenças de todas as ferramentas (Sonar, Snyk, Checkmarx, Grafana, etc.)</w:t>
            </w:r>
          </w:p>
        </w:tc>
        <w:tc>
          <w:tcPr>
            <w:tcW w:type="dxa" w:w="188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BAT</w:t>
            </w:r>
          </w:p>
        </w:tc>
        <w:tc>
          <w:tcPr>
            <w:tcW w:type="dxa" w:w="188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Antes de cada fase</w:t>
            </w:r>
          </w:p>
        </w:tc>
        <w:tc>
          <w:tcPr>
            <w:tcW w:type="dxa" w:w="188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Esteira incompleta no ponto da ferramenta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Aprovação de RFCs pelo COE (Service Connections, Variable Groups)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COE Global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2-3 semanas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Bloqueia Fase 4 (deploys multi-ambiente)</w:t>
            </w:r>
          </w:p>
        </w:tc>
      </w:tr>
      <w:tr>
        <w:tc>
          <w:tcPr>
            <w:tcW w:type="dxa" w:w="188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188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Credenciais das APIs externas (sandbox/homologação)</w:t>
            </w:r>
          </w:p>
        </w:tc>
        <w:tc>
          <w:tcPr>
            <w:tcW w:type="dxa" w:w="188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BAT LATAM</w:t>
            </w:r>
          </w:p>
        </w:tc>
        <w:tc>
          <w:tcPr>
            <w:tcW w:type="dxa" w:w="188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Fase 3</w:t>
            </w:r>
          </w:p>
        </w:tc>
        <w:tc>
          <w:tcPr>
            <w:tcW w:type="dxa" w:w="188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Testes E2E apenas com mocks, sem validação real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11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Liberações de rede (VNet, NSGs, Private Endpoints)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COE Global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2-3 semanas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Bloqueia Fase 5 (IaC/networking)</w:t>
            </w:r>
          </w:p>
        </w:tc>
      </w:tr>
      <w:tr>
        <w:tc>
          <w:tcPr>
            <w:tcW w:type="dxa" w:w="188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12</w:t>
            </w:r>
          </w:p>
        </w:tc>
        <w:tc>
          <w:tcPr>
            <w:tcW w:type="dxa" w:w="188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Ambiente Container Apps ou AKS provisionado (ou via RFC na Fase 0)</w:t>
            </w:r>
          </w:p>
        </w:tc>
        <w:tc>
          <w:tcPr>
            <w:tcW w:type="dxa" w:w="188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BAT + COE</w:t>
            </w:r>
          </w:p>
        </w:tc>
        <w:tc>
          <w:tcPr>
            <w:tcW w:type="dxa" w:w="188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Fase 4</w:t>
            </w:r>
          </w:p>
        </w:tc>
        <w:tc>
          <w:tcPr>
            <w:tcW w:type="dxa" w:w="188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Sem plataforma de compute para deploy</w:t>
            </w:r>
          </w:p>
        </w:tc>
      </w:tr>
    </w:tbl>
    <w:p>
      <w:pPr>
        <w:pStyle w:val="Heading2"/>
      </w:pPr>
      <w:r>
        <w:t>1.3 Para o Handover (Fase 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E293B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2351"/>
            <w:shd w:fill="1E293B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Pré-Requisito</w:t>
            </w:r>
          </w:p>
        </w:tc>
        <w:tc>
          <w:tcPr>
            <w:tcW w:type="dxa" w:w="2351"/>
            <w:shd w:fill="1E293B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Responsável</w:t>
            </w:r>
          </w:p>
        </w:tc>
        <w:tc>
          <w:tcPr>
            <w:tcW w:type="dxa" w:w="2351"/>
            <w:shd w:fill="1E293B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Quando</w:t>
            </w:r>
          </w:p>
        </w:tc>
      </w:tr>
      <w:tr>
        <w:tc>
          <w:tcPr>
            <w:tcW w:type="dxa" w:w="235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13</w:t>
            </w:r>
          </w:p>
        </w:tc>
        <w:tc>
          <w:tcPr>
            <w:tcW w:type="dxa" w:w="235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Time BAT disponível para 3 sessões de treinamento hands-on</w:t>
            </w:r>
          </w:p>
        </w:tc>
        <w:tc>
          <w:tcPr>
            <w:tcW w:type="dxa" w:w="235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BAT LATAM</w:t>
            </w:r>
          </w:p>
        </w:tc>
        <w:tc>
          <w:tcPr>
            <w:tcW w:type="dxa" w:w="235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Fase 6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14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SPOC para aprovar documentação técnica em inglês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BAT LATAM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Fase 6</w:t>
            </w:r>
          </w:p>
        </w:tc>
      </w:tr>
    </w:tbl>
    <w:p>
      <w:r>
        <w:br w:type="page"/>
      </w:r>
    </w:p>
    <w:p>
      <w:pPr>
        <w:pStyle w:val="Heading1"/>
      </w:pPr>
      <w:r>
        <w:t>Parte 2: Premissas do Projeto</w:t>
      </w:r>
    </w:p>
    <w:p>
      <w:r>
        <w:t>Condições assumidas como verdadeiras para viabilidade do projeto: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E293B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135"/>
            <w:shd w:fill="1E293B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Premissa</w:t>
            </w:r>
          </w:p>
        </w:tc>
        <w:tc>
          <w:tcPr>
            <w:tcW w:type="dxa" w:w="3135"/>
            <w:shd w:fill="1E293B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Base</w:t>
            </w:r>
          </w:p>
        </w:tc>
      </w:tr>
      <w:tr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P1</w:t>
            </w:r>
          </w:p>
        </w:tc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Escopo é criação de pipelines e esteiras — correção de código/vulnerabilidades é responsabilidade do time de desenvolvimento da BAT</w:t>
            </w:r>
          </w:p>
        </w:tc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Q&amp;A Item 6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P2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PenTest e testes de intrusão não são escopo deste projeto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Q&amp;A Item 14</w:t>
            </w:r>
          </w:p>
        </w:tc>
      </w:tr>
      <w:tr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P3</w:t>
            </w:r>
          </w:p>
        </w:tc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Fornecedor não terá acesso Admin ao ADO — toda alteração nos Níveis 1 e 2 será via RFC</w:t>
            </w:r>
          </w:p>
        </w:tc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Edital §2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P4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Fornecedor segue rigorosamente padrões, normas e políticas da BAT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Edital §2</w:t>
            </w:r>
          </w:p>
        </w:tc>
      </w:tr>
      <w:tr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P5</w:t>
            </w:r>
          </w:p>
        </w:tc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Toda documentação técnica será entregue em inglês</w:t>
            </w:r>
          </w:p>
        </w:tc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Q&amp;A Item 10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P6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Toda a equipe alocada tem inglês técnico para interagir com COE Global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Q&amp;A Item 9</w:t>
            </w:r>
          </w:p>
        </w:tc>
      </w:tr>
      <w:tr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P7</w:t>
            </w:r>
          </w:p>
        </w:tc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Prestação de serviço 100% remota, equipamento e licenciamento pelo fornecedor</w:t>
            </w:r>
          </w:p>
        </w:tc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Edital §5 e §6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P8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Horas consumidas durante bloqueios por dependências externas da BAT não contam contra o budget da Frente 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Proposta §11</w:t>
            </w:r>
          </w:p>
        </w:tc>
      </w:tr>
      <w:tr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P9</w:t>
            </w:r>
          </w:p>
        </w:tc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A esteira é um template reutilizável — será replicada para projetos futuros</w:t>
            </w:r>
          </w:p>
        </w:tc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Q&amp;A Item 7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P10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Frente B é sob demanda pura, sem retainer mensal mínimo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Q&amp;A Item 11</w:t>
            </w:r>
          </w:p>
        </w:tc>
      </w:tr>
      <w:tr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P11</w:t>
            </w:r>
          </w:p>
        </w:tc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Acionamentos fora do horário comercial serão acordados previamente</w:t>
            </w:r>
          </w:p>
        </w:tc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Q&amp;A Item 12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P12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Não há SLA formal da BAT para aprovação de RFCs — cronograma inclui buffer de contingência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Q&amp;A Item 1</w:t>
            </w:r>
          </w:p>
        </w:tc>
      </w:tr>
    </w:tbl>
    <w:p>
      <w:r>
        <w:br w:type="page"/>
      </w:r>
    </w:p>
    <w:p>
      <w:pPr>
        <w:pStyle w:val="Heading1"/>
      </w:pPr>
      <w:r>
        <w:t>Parte 3: Cronograma do Projeto</w:t>
      </w:r>
    </w:p>
    <w:p>
      <w:pPr>
        <w:pStyle w:val="Heading2"/>
      </w:pPr>
      <w:r>
        <w:t>3.1 Equipe do Projeto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E293B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Perfil</w:t>
            </w:r>
          </w:p>
        </w:tc>
        <w:tc>
          <w:tcPr>
            <w:tcW w:type="dxa" w:w="2351"/>
            <w:shd w:fill="1E293B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Dedicação Semanal</w:t>
            </w:r>
          </w:p>
        </w:tc>
        <w:tc>
          <w:tcPr>
            <w:tcW w:type="dxa" w:w="2351"/>
            <w:shd w:fill="1E293B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Total 15 Semanas</w:t>
            </w:r>
          </w:p>
        </w:tc>
        <w:tc>
          <w:tcPr>
            <w:tcW w:type="dxa" w:w="2351"/>
            <w:shd w:fill="1E293B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Responsabilidades Principais</w:t>
            </w:r>
          </w:p>
        </w:tc>
      </w:tr>
      <w:tr>
        <w:tc>
          <w:tcPr>
            <w:tcW w:type="dxa" w:w="235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Líder Técnico / Arquiteto DevOps</w:t>
            </w:r>
          </w:p>
        </w:tc>
        <w:tc>
          <w:tcPr>
            <w:tcW w:type="dxa" w:w="235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~16h/semana</w:t>
            </w:r>
          </w:p>
        </w:tc>
        <w:tc>
          <w:tcPr>
            <w:tcW w:type="dxa" w:w="235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~240h</w:t>
            </w:r>
          </w:p>
        </w:tc>
        <w:tc>
          <w:tcPr>
            <w:tcW w:type="dxa" w:w="235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Arquitetura, IaC Terraform, interface com COE em inglês, RFCs, decisões de design, gestão técnica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Engenheiro DevSecOps Sênior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~18h/semana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~270h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Pipelines CI/CD, segurança Shift-Left, observabilidade, deploys multi-ambiente, APIM</w:t>
            </w:r>
          </w:p>
        </w:tc>
      </w:tr>
      <w:tr>
        <w:tc>
          <w:tcPr>
            <w:tcW w:type="dxa" w:w="235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Engenheiro DevSecOps Pleno</w:t>
            </w:r>
          </w:p>
        </w:tc>
        <w:tc>
          <w:tcPr>
            <w:tcW w:type="dxa" w:w="235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~13h/semana</w:t>
            </w:r>
          </w:p>
        </w:tc>
        <w:tc>
          <w:tcPr>
            <w:tcW w:type="dxa" w:w="235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~190h</w:t>
            </w:r>
          </w:p>
        </w:tc>
        <w:tc>
          <w:tcPr>
            <w:tcW w:type="dxa" w:w="235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Dockerfiles, testes E2E (Playwright), mocks (WireMock), documentação em inglês, automações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TOTAL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~47h/semana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700h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</w:tbl>
    <w:p>
      <w:pPr>
        <w:pStyle w:val="Heading2"/>
      </w:pPr>
      <w:r>
        <w:t>3.2 Visão Geral por Fase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fill="1E293B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Fase</w:t>
            </w:r>
          </w:p>
        </w:tc>
        <w:tc>
          <w:tcPr>
            <w:tcW w:type="dxa" w:w="1344"/>
            <w:shd w:fill="1E293B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Semanas</w:t>
            </w:r>
          </w:p>
        </w:tc>
        <w:tc>
          <w:tcPr>
            <w:tcW w:type="dxa" w:w="1344"/>
            <w:shd w:fill="1E293B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Líder (h)</w:t>
            </w:r>
          </w:p>
        </w:tc>
        <w:tc>
          <w:tcPr>
            <w:tcW w:type="dxa" w:w="1344"/>
            <w:shd w:fill="1E293B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Sênior (h)</w:t>
            </w:r>
          </w:p>
        </w:tc>
        <w:tc>
          <w:tcPr>
            <w:tcW w:type="dxa" w:w="1344"/>
            <w:shd w:fill="1E293B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Pleno (h)</w:t>
            </w:r>
          </w:p>
        </w:tc>
        <w:tc>
          <w:tcPr>
            <w:tcW w:type="dxa" w:w="1344"/>
            <w:shd w:fill="1E293B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Total (h)</w:t>
            </w:r>
          </w:p>
        </w:tc>
        <w:tc>
          <w:tcPr>
            <w:tcW w:type="dxa" w:w="1344"/>
            <w:shd w:fill="1E293B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Entregáveis</w:t>
            </w:r>
          </w:p>
        </w:tc>
      </w:tr>
      <w:tr>
        <w:tc>
          <w:tcPr>
            <w:tcW w:type="dxa" w:w="1344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Fase 0: Pré-requisitos e Discovery</w:t>
            </w:r>
          </w:p>
        </w:tc>
        <w:tc>
          <w:tcPr>
            <w:tcW w:type="dxa" w:w="1344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S1 — S2</w:t>
            </w:r>
          </w:p>
        </w:tc>
        <w:tc>
          <w:tcPr>
            <w:tcW w:type="dxa" w:w="1344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24</w:t>
            </w:r>
          </w:p>
        </w:tc>
        <w:tc>
          <w:tcPr>
            <w:tcW w:type="dxa" w:w="1344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16</w:t>
            </w:r>
          </w:p>
        </w:tc>
        <w:tc>
          <w:tcPr>
            <w:tcW w:type="dxa" w:w="1344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1344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50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344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Checklist de acessos, discovery de APIs, validação de ambiente, RFCs submetidas ao COE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Calibri" w:hAnsi="Calibri"/>
                <w:sz w:val="20"/>
              </w:rPr>
              <w:t>Fase 1: Repositórios e Versionamento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20"/>
              </w:rPr>
              <w:t>S2 — S4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20"/>
              </w:rPr>
              <w:t>20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20"/>
              </w:rPr>
              <w:t>24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20"/>
              </w:rPr>
              <w:t>16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60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20"/>
              </w:rPr>
              <w:t>Repos ADO com nomenclatura BAT, GitFlow, Branch Protection, acessos de terceiros</w:t>
            </w:r>
          </w:p>
        </w:tc>
      </w:tr>
      <w:tr>
        <w:tc>
          <w:tcPr>
            <w:tcW w:type="dxa" w:w="1344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Fase 2: Integração Contínua e Qualidade</w:t>
            </w:r>
          </w:p>
        </w:tc>
        <w:tc>
          <w:tcPr>
            <w:tcW w:type="dxa" w:w="1344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S4 — S6</w:t>
            </w:r>
          </w:p>
        </w:tc>
        <w:tc>
          <w:tcPr>
            <w:tcW w:type="dxa" w:w="1344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28</w:t>
            </w:r>
          </w:p>
        </w:tc>
        <w:tc>
          <w:tcPr>
            <w:tcW w:type="dxa" w:w="1344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40</w:t>
            </w:r>
          </w:p>
        </w:tc>
        <w:tc>
          <w:tcPr>
            <w:tcW w:type="dxa" w:w="1344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22</w:t>
            </w:r>
          </w:p>
        </w:tc>
        <w:tc>
          <w:tcPr>
            <w:tcW w:type="dxa" w:w="1344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90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344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Pipelines CI (Java ×2 + Flutter), SonarQube corporativo, Quality Gates, SAST/SCA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Calibri" w:hAnsi="Calibri"/>
                <w:sz w:val="20"/>
              </w:rPr>
              <w:t>Fase 3: Empacotamento, Artefatos e E2E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20"/>
              </w:rPr>
              <w:t>S6 — S8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20"/>
              </w:rPr>
              <w:t>24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20"/>
              </w:rPr>
              <w:t>36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20"/>
              </w:rPr>
              <w:t>30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90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20"/>
              </w:rPr>
              <w:t>Dockerfiles multi-stage, ACR, Playwright E2E, WireMock, contratos OpenAPI</w:t>
            </w:r>
          </w:p>
        </w:tc>
      </w:tr>
      <w:tr>
        <w:tc>
          <w:tcPr>
            <w:tcW w:type="dxa" w:w="1344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Fase 4: Continuous Delivery Multi-Ambiente</w:t>
            </w:r>
          </w:p>
        </w:tc>
        <w:tc>
          <w:tcPr>
            <w:tcW w:type="dxa" w:w="1344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S8 — S11</w:t>
            </w:r>
          </w:p>
        </w:tc>
        <w:tc>
          <w:tcPr>
            <w:tcW w:type="dxa" w:w="1344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36</w:t>
            </w:r>
          </w:p>
        </w:tc>
        <w:tc>
          <w:tcPr>
            <w:tcW w:type="dxa" w:w="1344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48</w:t>
            </w:r>
          </w:p>
        </w:tc>
        <w:tc>
          <w:tcPr>
            <w:tcW w:type="dxa" w:w="1344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36</w:t>
            </w:r>
          </w:p>
        </w:tc>
        <w:tc>
          <w:tcPr>
            <w:tcW w:type="dxa" w:w="1344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120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344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Pipelines CD (UAT/REG/PRD), Blue-Green, rollback &lt; 5min, Flyway, Approval Gates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Calibri" w:hAnsi="Calibri"/>
                <w:sz w:val="20"/>
              </w:rPr>
              <w:t>Fase 5: Observabilidade e IaC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20"/>
              </w:rPr>
              <w:t>S10 — S13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20"/>
              </w:rPr>
              <w:t>40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20"/>
              </w:rPr>
              <w:t>52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20"/>
              </w:rPr>
              <w:t>28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120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20"/>
              </w:rPr>
              <w:t>Terraform completo (VNet, Private Endpoints, NSGs), OpenTelemetry, Grafana, SLOs, alertas</w:t>
            </w:r>
          </w:p>
        </w:tc>
      </w:tr>
      <w:tr>
        <w:tc>
          <w:tcPr>
            <w:tcW w:type="dxa" w:w="1344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Fase 6: Handover e Onboarding</w:t>
            </w:r>
          </w:p>
        </w:tc>
        <w:tc>
          <w:tcPr>
            <w:tcW w:type="dxa" w:w="1344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S13 — S15</w:t>
            </w:r>
          </w:p>
        </w:tc>
        <w:tc>
          <w:tcPr>
            <w:tcW w:type="dxa" w:w="1344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28</w:t>
            </w:r>
          </w:p>
        </w:tc>
        <w:tc>
          <w:tcPr>
            <w:tcW w:type="dxa" w:w="1344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22</w:t>
            </w:r>
          </w:p>
        </w:tc>
        <w:tc>
          <w:tcPr>
            <w:tcW w:type="dxa" w:w="1344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20</w:t>
            </w:r>
          </w:p>
        </w:tc>
        <w:tc>
          <w:tcPr>
            <w:tcW w:type="dxa" w:w="1344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70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344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Documentação em inglês, 3 sessões hands-on, runbooks, vídeo, guia de replicação do template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Calibri" w:hAnsi="Calibri"/>
                <w:sz w:val="20"/>
              </w:rPr>
              <w:t>Gestão e Alinhamentos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20"/>
              </w:rPr>
              <w:t>S1 — S15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20"/>
              </w:rPr>
              <w:t>40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20"/>
              </w:rPr>
              <w:t>32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20"/>
              </w:rPr>
              <w:t>28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100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20"/>
              </w:rPr>
              <w:t>Reuniões BAT/COE, status reports, gestão de RFCs, impedimentos, defesa técnica</w:t>
            </w:r>
          </w:p>
        </w:tc>
      </w:tr>
      <w:tr>
        <w:tc>
          <w:tcPr>
            <w:tcW w:type="dxa" w:w="1344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TOTAL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344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15 semanas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344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240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344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270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344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190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344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700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344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t>3.3 Cronograma Visual — Gantt Simplificado</w:t>
      </w:r>
    </w:p>
    <w:p>
      <w:r>
        <w:t>Distribuição semanal das fases ao longo das 15 semanas: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88"/>
        <w:gridCol w:w="588"/>
        <w:gridCol w:w="588"/>
        <w:gridCol w:w="588"/>
        <w:gridCol w:w="588"/>
        <w:gridCol w:w="588"/>
        <w:gridCol w:w="588"/>
        <w:gridCol w:w="588"/>
        <w:gridCol w:w="588"/>
        <w:gridCol w:w="588"/>
        <w:gridCol w:w="588"/>
        <w:gridCol w:w="588"/>
        <w:gridCol w:w="588"/>
        <w:gridCol w:w="588"/>
        <w:gridCol w:w="588"/>
        <w:gridCol w:w="588"/>
      </w:tblGrid>
      <w:tr>
        <w:tc>
          <w:tcPr>
            <w:tcW w:type="dxa" w:w="588"/>
            <w:shd w:fill="1E293B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Fase</w:t>
            </w:r>
          </w:p>
        </w:tc>
        <w:tc>
          <w:tcPr>
            <w:tcW w:type="dxa" w:w="588"/>
            <w:shd w:fill="1E293B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S1</w:t>
            </w:r>
          </w:p>
        </w:tc>
        <w:tc>
          <w:tcPr>
            <w:tcW w:type="dxa" w:w="588"/>
            <w:shd w:fill="1E293B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S2</w:t>
            </w:r>
          </w:p>
        </w:tc>
        <w:tc>
          <w:tcPr>
            <w:tcW w:type="dxa" w:w="588"/>
            <w:shd w:fill="1E293B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S3</w:t>
            </w:r>
          </w:p>
        </w:tc>
        <w:tc>
          <w:tcPr>
            <w:tcW w:type="dxa" w:w="588"/>
            <w:shd w:fill="1E293B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S4</w:t>
            </w:r>
          </w:p>
        </w:tc>
        <w:tc>
          <w:tcPr>
            <w:tcW w:type="dxa" w:w="588"/>
            <w:shd w:fill="1E293B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S5</w:t>
            </w:r>
          </w:p>
        </w:tc>
        <w:tc>
          <w:tcPr>
            <w:tcW w:type="dxa" w:w="588"/>
            <w:shd w:fill="1E293B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S6</w:t>
            </w:r>
          </w:p>
        </w:tc>
        <w:tc>
          <w:tcPr>
            <w:tcW w:type="dxa" w:w="588"/>
            <w:shd w:fill="1E293B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S7</w:t>
            </w:r>
          </w:p>
        </w:tc>
        <w:tc>
          <w:tcPr>
            <w:tcW w:type="dxa" w:w="588"/>
            <w:shd w:fill="1E293B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S8</w:t>
            </w:r>
          </w:p>
        </w:tc>
        <w:tc>
          <w:tcPr>
            <w:tcW w:type="dxa" w:w="588"/>
            <w:shd w:fill="1E293B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S9</w:t>
            </w:r>
          </w:p>
        </w:tc>
        <w:tc>
          <w:tcPr>
            <w:tcW w:type="dxa" w:w="588"/>
            <w:shd w:fill="1E293B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S10</w:t>
            </w:r>
          </w:p>
        </w:tc>
        <w:tc>
          <w:tcPr>
            <w:tcW w:type="dxa" w:w="588"/>
            <w:shd w:fill="1E293B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S11</w:t>
            </w:r>
          </w:p>
        </w:tc>
        <w:tc>
          <w:tcPr>
            <w:tcW w:type="dxa" w:w="588"/>
            <w:shd w:fill="1E293B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S12</w:t>
            </w:r>
          </w:p>
        </w:tc>
        <w:tc>
          <w:tcPr>
            <w:tcW w:type="dxa" w:w="588"/>
            <w:shd w:fill="1E293B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S13</w:t>
            </w:r>
          </w:p>
        </w:tc>
        <w:tc>
          <w:tcPr>
            <w:tcW w:type="dxa" w:w="588"/>
            <w:shd w:fill="1E293B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S14</w:t>
            </w:r>
          </w:p>
        </w:tc>
        <w:tc>
          <w:tcPr>
            <w:tcW w:type="dxa" w:w="588"/>
            <w:shd w:fill="1E293B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S15</w:t>
            </w:r>
          </w:p>
        </w:tc>
      </w:tr>
      <w:tr>
        <w:tc>
          <w:tcPr>
            <w:tcW w:type="dxa" w:w="58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Fase 0: Discovery</w:t>
            </w:r>
          </w:p>
        </w:tc>
        <w:tc>
          <w:tcPr>
            <w:tcW w:type="dxa" w:w="588"/>
            <w:shd w:fill="0078D4" w:val="clear"/>
          </w:tcPr>
          <w:p>
            <w:pPr>
              <w:jc w:val="center"/>
            </w:pPr>
            <w:r/>
            <w:r>
              <w:rPr>
                <w:rFonts w:ascii="Calibri" w:hAnsi="Calibri"/>
                <w:color w:val="FFFFFF"/>
                <w:sz w:val="20"/>
              </w:rPr>
              <w:t>■</w:t>
            </w:r>
          </w:p>
        </w:tc>
        <w:tc>
          <w:tcPr>
            <w:tcW w:type="dxa" w:w="588"/>
            <w:shd w:fill="0078D4" w:val="clear"/>
          </w:tcPr>
          <w:p>
            <w:pPr>
              <w:jc w:val="center"/>
            </w:pPr>
            <w:r/>
            <w:r>
              <w:rPr>
                <w:rFonts w:ascii="Calibri" w:hAnsi="Calibri"/>
                <w:color w:val="FFFFFF"/>
                <w:sz w:val="20"/>
              </w:rPr>
              <w:t>■</w:t>
            </w:r>
          </w:p>
        </w:tc>
        <w:tc>
          <w:tcPr>
            <w:tcW w:type="dxa" w:w="588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588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588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588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588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588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588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588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588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588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588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588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588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58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Fase 1: Repos/GitFlow</w:t>
            </w:r>
          </w:p>
        </w:tc>
        <w:tc>
          <w:tcPr>
            <w:tcW w:type="dxa" w:w="588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588"/>
            <w:shd w:fill="2E8B57" w:val="clear"/>
          </w:tcPr>
          <w:p>
            <w:pPr>
              <w:jc w:val="center"/>
            </w:pPr>
            <w:r/>
            <w:r>
              <w:rPr>
                <w:rFonts w:ascii="Calibri" w:hAnsi="Calibri"/>
                <w:color w:val="FFFFFF"/>
                <w:sz w:val="20"/>
              </w:rPr>
              <w:t>■</w:t>
            </w:r>
          </w:p>
        </w:tc>
        <w:tc>
          <w:tcPr>
            <w:tcW w:type="dxa" w:w="588"/>
            <w:shd w:fill="2E8B57" w:val="clear"/>
          </w:tcPr>
          <w:p>
            <w:pPr>
              <w:jc w:val="center"/>
            </w:pPr>
            <w:r/>
            <w:r>
              <w:rPr>
                <w:rFonts w:ascii="Calibri" w:hAnsi="Calibri"/>
                <w:color w:val="FFFFFF"/>
                <w:sz w:val="20"/>
              </w:rPr>
              <w:t>■</w:t>
            </w:r>
          </w:p>
        </w:tc>
        <w:tc>
          <w:tcPr>
            <w:tcW w:type="dxa" w:w="588"/>
            <w:shd w:fill="2E8B57" w:val="clear"/>
          </w:tcPr>
          <w:p>
            <w:pPr>
              <w:jc w:val="center"/>
            </w:pPr>
            <w:r/>
            <w:r>
              <w:rPr>
                <w:rFonts w:ascii="Calibri" w:hAnsi="Calibri"/>
                <w:color w:val="FFFFFF"/>
                <w:sz w:val="20"/>
              </w:rPr>
              <w:t>■</w:t>
            </w:r>
          </w:p>
        </w:tc>
        <w:tc>
          <w:tcPr>
            <w:tcW w:type="dxa" w:w="588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588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588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588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588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588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588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588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588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588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588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58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Fase 2: CI/Qualidade</w:t>
            </w:r>
          </w:p>
        </w:tc>
        <w:tc>
          <w:tcPr>
            <w:tcW w:type="dxa" w:w="588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588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588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588"/>
            <w:shd w:fill="B8860B" w:val="clear"/>
          </w:tcPr>
          <w:p>
            <w:pPr>
              <w:jc w:val="center"/>
            </w:pPr>
            <w:r/>
            <w:r>
              <w:rPr>
                <w:rFonts w:ascii="Calibri" w:hAnsi="Calibri"/>
                <w:color w:val="FFFFFF"/>
                <w:sz w:val="20"/>
              </w:rPr>
              <w:t>■</w:t>
            </w:r>
          </w:p>
        </w:tc>
        <w:tc>
          <w:tcPr>
            <w:tcW w:type="dxa" w:w="588"/>
            <w:shd w:fill="B8860B" w:val="clear"/>
          </w:tcPr>
          <w:p>
            <w:pPr>
              <w:jc w:val="center"/>
            </w:pPr>
            <w:r/>
            <w:r>
              <w:rPr>
                <w:rFonts w:ascii="Calibri" w:hAnsi="Calibri"/>
                <w:color w:val="FFFFFF"/>
                <w:sz w:val="20"/>
              </w:rPr>
              <w:t>■</w:t>
            </w:r>
          </w:p>
        </w:tc>
        <w:tc>
          <w:tcPr>
            <w:tcW w:type="dxa" w:w="588"/>
            <w:shd w:fill="B8860B" w:val="clear"/>
          </w:tcPr>
          <w:p>
            <w:pPr>
              <w:jc w:val="center"/>
            </w:pPr>
            <w:r/>
            <w:r>
              <w:rPr>
                <w:rFonts w:ascii="Calibri" w:hAnsi="Calibri"/>
                <w:color w:val="FFFFFF"/>
                <w:sz w:val="20"/>
              </w:rPr>
              <w:t>■</w:t>
            </w:r>
          </w:p>
        </w:tc>
        <w:tc>
          <w:tcPr>
            <w:tcW w:type="dxa" w:w="588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588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588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588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588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588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588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588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588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58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Fase 3: Artefatos/E2E</w:t>
            </w:r>
          </w:p>
        </w:tc>
        <w:tc>
          <w:tcPr>
            <w:tcW w:type="dxa" w:w="588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588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588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588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588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588"/>
            <w:shd w:fill="CD5C5C" w:val="clear"/>
          </w:tcPr>
          <w:p>
            <w:pPr>
              <w:jc w:val="center"/>
            </w:pPr>
            <w:r/>
            <w:r>
              <w:rPr>
                <w:rFonts w:ascii="Calibri" w:hAnsi="Calibri"/>
                <w:color w:val="FFFFFF"/>
                <w:sz w:val="20"/>
              </w:rPr>
              <w:t>■</w:t>
            </w:r>
          </w:p>
        </w:tc>
        <w:tc>
          <w:tcPr>
            <w:tcW w:type="dxa" w:w="588"/>
            <w:shd w:fill="CD5C5C" w:val="clear"/>
          </w:tcPr>
          <w:p>
            <w:pPr>
              <w:jc w:val="center"/>
            </w:pPr>
            <w:r/>
            <w:r>
              <w:rPr>
                <w:rFonts w:ascii="Calibri" w:hAnsi="Calibri"/>
                <w:color w:val="FFFFFF"/>
                <w:sz w:val="20"/>
              </w:rPr>
              <w:t>■</w:t>
            </w:r>
          </w:p>
        </w:tc>
        <w:tc>
          <w:tcPr>
            <w:tcW w:type="dxa" w:w="588"/>
            <w:shd w:fill="CD5C5C" w:val="clear"/>
          </w:tcPr>
          <w:p>
            <w:pPr>
              <w:jc w:val="center"/>
            </w:pPr>
            <w:r/>
            <w:r>
              <w:rPr>
                <w:rFonts w:ascii="Calibri" w:hAnsi="Calibri"/>
                <w:color w:val="FFFFFF"/>
                <w:sz w:val="20"/>
              </w:rPr>
              <w:t>■</w:t>
            </w:r>
          </w:p>
        </w:tc>
        <w:tc>
          <w:tcPr>
            <w:tcW w:type="dxa" w:w="588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588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588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588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588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588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588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58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Fase 4: CD Multi-Amb.</w:t>
            </w:r>
          </w:p>
        </w:tc>
        <w:tc>
          <w:tcPr>
            <w:tcW w:type="dxa" w:w="588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588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588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588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588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588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588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588"/>
            <w:shd w:fill="6A5ACD" w:val="clear"/>
          </w:tcPr>
          <w:p>
            <w:pPr>
              <w:jc w:val="center"/>
            </w:pPr>
            <w:r/>
            <w:r>
              <w:rPr>
                <w:rFonts w:ascii="Calibri" w:hAnsi="Calibri"/>
                <w:color w:val="FFFFFF"/>
                <w:sz w:val="20"/>
              </w:rPr>
              <w:t>■</w:t>
            </w:r>
          </w:p>
        </w:tc>
        <w:tc>
          <w:tcPr>
            <w:tcW w:type="dxa" w:w="588"/>
            <w:shd w:fill="6A5ACD" w:val="clear"/>
          </w:tcPr>
          <w:p>
            <w:pPr>
              <w:jc w:val="center"/>
            </w:pPr>
            <w:r/>
            <w:r>
              <w:rPr>
                <w:rFonts w:ascii="Calibri" w:hAnsi="Calibri"/>
                <w:color w:val="FFFFFF"/>
                <w:sz w:val="20"/>
              </w:rPr>
              <w:t>■</w:t>
            </w:r>
          </w:p>
        </w:tc>
        <w:tc>
          <w:tcPr>
            <w:tcW w:type="dxa" w:w="588"/>
            <w:shd w:fill="6A5ACD" w:val="clear"/>
          </w:tcPr>
          <w:p>
            <w:pPr>
              <w:jc w:val="center"/>
            </w:pPr>
            <w:r/>
            <w:r>
              <w:rPr>
                <w:rFonts w:ascii="Calibri" w:hAnsi="Calibri"/>
                <w:color w:val="FFFFFF"/>
                <w:sz w:val="20"/>
              </w:rPr>
              <w:t>■</w:t>
            </w:r>
          </w:p>
        </w:tc>
        <w:tc>
          <w:tcPr>
            <w:tcW w:type="dxa" w:w="588"/>
            <w:shd w:fill="6A5ACD" w:val="clear"/>
          </w:tcPr>
          <w:p>
            <w:pPr>
              <w:jc w:val="center"/>
            </w:pPr>
            <w:r/>
            <w:r>
              <w:rPr>
                <w:rFonts w:ascii="Calibri" w:hAnsi="Calibri"/>
                <w:color w:val="FFFFFF"/>
                <w:sz w:val="20"/>
              </w:rPr>
              <w:t>■</w:t>
            </w:r>
          </w:p>
        </w:tc>
        <w:tc>
          <w:tcPr>
            <w:tcW w:type="dxa" w:w="588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588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588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588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58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Fase 5: Observab./IaC</w:t>
            </w:r>
          </w:p>
        </w:tc>
        <w:tc>
          <w:tcPr>
            <w:tcW w:type="dxa" w:w="588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588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588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588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588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588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588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588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588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588"/>
            <w:shd w:fill="FF8C00" w:val="clear"/>
          </w:tcPr>
          <w:p>
            <w:pPr>
              <w:jc w:val="center"/>
            </w:pPr>
            <w:r/>
            <w:r>
              <w:rPr>
                <w:rFonts w:ascii="Calibri" w:hAnsi="Calibri"/>
                <w:color w:val="FFFFFF"/>
                <w:sz w:val="20"/>
              </w:rPr>
              <w:t>■</w:t>
            </w:r>
          </w:p>
        </w:tc>
        <w:tc>
          <w:tcPr>
            <w:tcW w:type="dxa" w:w="588"/>
            <w:shd w:fill="FF8C00" w:val="clear"/>
          </w:tcPr>
          <w:p>
            <w:pPr>
              <w:jc w:val="center"/>
            </w:pPr>
            <w:r/>
            <w:r>
              <w:rPr>
                <w:rFonts w:ascii="Calibri" w:hAnsi="Calibri"/>
                <w:color w:val="FFFFFF"/>
                <w:sz w:val="20"/>
              </w:rPr>
              <w:t>■</w:t>
            </w:r>
          </w:p>
        </w:tc>
        <w:tc>
          <w:tcPr>
            <w:tcW w:type="dxa" w:w="588"/>
            <w:shd w:fill="FF8C00" w:val="clear"/>
          </w:tcPr>
          <w:p>
            <w:pPr>
              <w:jc w:val="center"/>
            </w:pPr>
            <w:r/>
            <w:r>
              <w:rPr>
                <w:rFonts w:ascii="Calibri" w:hAnsi="Calibri"/>
                <w:color w:val="FFFFFF"/>
                <w:sz w:val="20"/>
              </w:rPr>
              <w:t>■</w:t>
            </w:r>
          </w:p>
        </w:tc>
        <w:tc>
          <w:tcPr>
            <w:tcW w:type="dxa" w:w="588"/>
            <w:shd w:fill="FF8C00" w:val="clear"/>
          </w:tcPr>
          <w:p>
            <w:pPr>
              <w:jc w:val="center"/>
            </w:pPr>
            <w:r/>
            <w:r>
              <w:rPr>
                <w:rFonts w:ascii="Calibri" w:hAnsi="Calibri"/>
                <w:color w:val="FFFFFF"/>
                <w:sz w:val="20"/>
              </w:rPr>
              <w:t>■</w:t>
            </w:r>
          </w:p>
        </w:tc>
        <w:tc>
          <w:tcPr>
            <w:tcW w:type="dxa" w:w="588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588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58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Fase 6: Handover</w:t>
            </w:r>
          </w:p>
        </w:tc>
        <w:tc>
          <w:tcPr>
            <w:tcW w:type="dxa" w:w="588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588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588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588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588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588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588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588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588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588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588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588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588"/>
            <w:shd w:fill="20B2AA" w:val="clear"/>
          </w:tcPr>
          <w:p>
            <w:pPr>
              <w:jc w:val="center"/>
            </w:pPr>
            <w:r/>
            <w:r>
              <w:rPr>
                <w:rFonts w:ascii="Calibri" w:hAnsi="Calibri"/>
                <w:color w:val="FFFFFF"/>
                <w:sz w:val="20"/>
              </w:rPr>
              <w:t>■</w:t>
            </w:r>
          </w:p>
        </w:tc>
        <w:tc>
          <w:tcPr>
            <w:tcW w:type="dxa" w:w="588"/>
            <w:shd w:fill="20B2AA" w:val="clear"/>
          </w:tcPr>
          <w:p>
            <w:pPr>
              <w:jc w:val="center"/>
            </w:pPr>
            <w:r/>
            <w:r>
              <w:rPr>
                <w:rFonts w:ascii="Calibri" w:hAnsi="Calibri"/>
                <w:color w:val="FFFFFF"/>
                <w:sz w:val="20"/>
              </w:rPr>
              <w:t>■</w:t>
            </w:r>
          </w:p>
        </w:tc>
        <w:tc>
          <w:tcPr>
            <w:tcW w:type="dxa" w:w="588"/>
            <w:shd w:fill="20B2AA" w:val="clear"/>
          </w:tcPr>
          <w:p>
            <w:pPr>
              <w:jc w:val="center"/>
            </w:pPr>
            <w:r/>
            <w:r>
              <w:rPr>
                <w:rFonts w:ascii="Calibri" w:hAnsi="Calibri"/>
                <w:color w:val="FFFFFF"/>
                <w:sz w:val="20"/>
              </w:rPr>
              <w:t>■</w:t>
            </w:r>
          </w:p>
        </w:tc>
      </w:tr>
      <w:tr>
        <w:tc>
          <w:tcPr>
            <w:tcW w:type="dxa" w:w="58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Gestão/Alinhamentos</w:t>
            </w:r>
          </w:p>
        </w:tc>
        <w:tc>
          <w:tcPr>
            <w:tcW w:type="dxa" w:w="588"/>
            <w:shd w:fill="708090" w:val="clear"/>
          </w:tcPr>
          <w:p>
            <w:pPr>
              <w:jc w:val="center"/>
            </w:pPr>
            <w:r/>
            <w:r>
              <w:rPr>
                <w:rFonts w:ascii="Calibri" w:hAnsi="Calibri"/>
                <w:color w:val="FFFFFF"/>
                <w:sz w:val="20"/>
              </w:rPr>
              <w:t>■</w:t>
            </w:r>
          </w:p>
        </w:tc>
        <w:tc>
          <w:tcPr>
            <w:tcW w:type="dxa" w:w="588"/>
            <w:shd w:fill="708090" w:val="clear"/>
          </w:tcPr>
          <w:p>
            <w:pPr>
              <w:jc w:val="center"/>
            </w:pPr>
            <w:r/>
            <w:r>
              <w:rPr>
                <w:rFonts w:ascii="Calibri" w:hAnsi="Calibri"/>
                <w:color w:val="FFFFFF"/>
                <w:sz w:val="20"/>
              </w:rPr>
              <w:t>■</w:t>
            </w:r>
          </w:p>
        </w:tc>
        <w:tc>
          <w:tcPr>
            <w:tcW w:type="dxa" w:w="588"/>
            <w:shd w:fill="708090" w:val="clear"/>
          </w:tcPr>
          <w:p>
            <w:pPr>
              <w:jc w:val="center"/>
            </w:pPr>
            <w:r/>
            <w:r>
              <w:rPr>
                <w:rFonts w:ascii="Calibri" w:hAnsi="Calibri"/>
                <w:color w:val="FFFFFF"/>
                <w:sz w:val="20"/>
              </w:rPr>
              <w:t>■</w:t>
            </w:r>
          </w:p>
        </w:tc>
        <w:tc>
          <w:tcPr>
            <w:tcW w:type="dxa" w:w="588"/>
            <w:shd w:fill="708090" w:val="clear"/>
          </w:tcPr>
          <w:p>
            <w:pPr>
              <w:jc w:val="center"/>
            </w:pPr>
            <w:r/>
            <w:r>
              <w:rPr>
                <w:rFonts w:ascii="Calibri" w:hAnsi="Calibri"/>
                <w:color w:val="FFFFFF"/>
                <w:sz w:val="20"/>
              </w:rPr>
              <w:t>■</w:t>
            </w:r>
          </w:p>
        </w:tc>
        <w:tc>
          <w:tcPr>
            <w:tcW w:type="dxa" w:w="588"/>
            <w:shd w:fill="708090" w:val="clear"/>
          </w:tcPr>
          <w:p>
            <w:pPr>
              <w:jc w:val="center"/>
            </w:pPr>
            <w:r/>
            <w:r>
              <w:rPr>
                <w:rFonts w:ascii="Calibri" w:hAnsi="Calibri"/>
                <w:color w:val="FFFFFF"/>
                <w:sz w:val="20"/>
              </w:rPr>
              <w:t>■</w:t>
            </w:r>
          </w:p>
        </w:tc>
        <w:tc>
          <w:tcPr>
            <w:tcW w:type="dxa" w:w="588"/>
            <w:shd w:fill="708090" w:val="clear"/>
          </w:tcPr>
          <w:p>
            <w:pPr>
              <w:jc w:val="center"/>
            </w:pPr>
            <w:r/>
            <w:r>
              <w:rPr>
                <w:rFonts w:ascii="Calibri" w:hAnsi="Calibri"/>
                <w:color w:val="FFFFFF"/>
                <w:sz w:val="20"/>
              </w:rPr>
              <w:t>■</w:t>
            </w:r>
          </w:p>
        </w:tc>
        <w:tc>
          <w:tcPr>
            <w:tcW w:type="dxa" w:w="588"/>
            <w:shd w:fill="708090" w:val="clear"/>
          </w:tcPr>
          <w:p>
            <w:pPr>
              <w:jc w:val="center"/>
            </w:pPr>
            <w:r/>
            <w:r>
              <w:rPr>
                <w:rFonts w:ascii="Calibri" w:hAnsi="Calibri"/>
                <w:color w:val="FFFFFF"/>
                <w:sz w:val="20"/>
              </w:rPr>
              <w:t>■</w:t>
            </w:r>
          </w:p>
        </w:tc>
        <w:tc>
          <w:tcPr>
            <w:tcW w:type="dxa" w:w="588"/>
            <w:shd w:fill="708090" w:val="clear"/>
          </w:tcPr>
          <w:p>
            <w:pPr>
              <w:jc w:val="center"/>
            </w:pPr>
            <w:r/>
            <w:r>
              <w:rPr>
                <w:rFonts w:ascii="Calibri" w:hAnsi="Calibri"/>
                <w:color w:val="FFFFFF"/>
                <w:sz w:val="20"/>
              </w:rPr>
              <w:t>■</w:t>
            </w:r>
          </w:p>
        </w:tc>
        <w:tc>
          <w:tcPr>
            <w:tcW w:type="dxa" w:w="588"/>
            <w:shd w:fill="708090" w:val="clear"/>
          </w:tcPr>
          <w:p>
            <w:pPr>
              <w:jc w:val="center"/>
            </w:pPr>
            <w:r/>
            <w:r>
              <w:rPr>
                <w:rFonts w:ascii="Calibri" w:hAnsi="Calibri"/>
                <w:color w:val="FFFFFF"/>
                <w:sz w:val="20"/>
              </w:rPr>
              <w:t>■</w:t>
            </w:r>
          </w:p>
        </w:tc>
        <w:tc>
          <w:tcPr>
            <w:tcW w:type="dxa" w:w="588"/>
            <w:shd w:fill="708090" w:val="clear"/>
          </w:tcPr>
          <w:p>
            <w:pPr>
              <w:jc w:val="center"/>
            </w:pPr>
            <w:r/>
            <w:r>
              <w:rPr>
                <w:rFonts w:ascii="Calibri" w:hAnsi="Calibri"/>
                <w:color w:val="FFFFFF"/>
                <w:sz w:val="20"/>
              </w:rPr>
              <w:t>■</w:t>
            </w:r>
          </w:p>
        </w:tc>
        <w:tc>
          <w:tcPr>
            <w:tcW w:type="dxa" w:w="588"/>
            <w:shd w:fill="708090" w:val="clear"/>
          </w:tcPr>
          <w:p>
            <w:pPr>
              <w:jc w:val="center"/>
            </w:pPr>
            <w:r/>
            <w:r>
              <w:rPr>
                <w:rFonts w:ascii="Calibri" w:hAnsi="Calibri"/>
                <w:color w:val="FFFFFF"/>
                <w:sz w:val="20"/>
              </w:rPr>
              <w:t>■</w:t>
            </w:r>
          </w:p>
        </w:tc>
        <w:tc>
          <w:tcPr>
            <w:tcW w:type="dxa" w:w="588"/>
            <w:shd w:fill="708090" w:val="clear"/>
          </w:tcPr>
          <w:p>
            <w:pPr>
              <w:jc w:val="center"/>
            </w:pPr>
            <w:r/>
            <w:r>
              <w:rPr>
                <w:rFonts w:ascii="Calibri" w:hAnsi="Calibri"/>
                <w:color w:val="FFFFFF"/>
                <w:sz w:val="20"/>
              </w:rPr>
              <w:t>■</w:t>
            </w:r>
          </w:p>
        </w:tc>
        <w:tc>
          <w:tcPr>
            <w:tcW w:type="dxa" w:w="588"/>
            <w:shd w:fill="708090" w:val="clear"/>
          </w:tcPr>
          <w:p>
            <w:pPr>
              <w:jc w:val="center"/>
            </w:pPr>
            <w:r/>
            <w:r>
              <w:rPr>
                <w:rFonts w:ascii="Calibri" w:hAnsi="Calibri"/>
                <w:color w:val="FFFFFF"/>
                <w:sz w:val="20"/>
              </w:rPr>
              <w:t>■</w:t>
            </w:r>
          </w:p>
        </w:tc>
        <w:tc>
          <w:tcPr>
            <w:tcW w:type="dxa" w:w="588"/>
            <w:shd w:fill="708090" w:val="clear"/>
          </w:tcPr>
          <w:p>
            <w:pPr>
              <w:jc w:val="center"/>
            </w:pPr>
            <w:r/>
            <w:r>
              <w:rPr>
                <w:rFonts w:ascii="Calibri" w:hAnsi="Calibri"/>
                <w:color w:val="FFFFFF"/>
                <w:sz w:val="20"/>
              </w:rPr>
              <w:t>■</w:t>
            </w:r>
          </w:p>
        </w:tc>
        <w:tc>
          <w:tcPr>
            <w:tcW w:type="dxa" w:w="588"/>
            <w:shd w:fill="708090" w:val="clear"/>
          </w:tcPr>
          <w:p>
            <w:pPr>
              <w:jc w:val="center"/>
            </w:pPr>
            <w:r/>
            <w:r>
              <w:rPr>
                <w:rFonts w:ascii="Calibri" w:hAnsi="Calibri"/>
                <w:color w:val="FFFFFF"/>
                <w:sz w:val="20"/>
              </w:rPr>
              <w:t>■</w:t>
            </w:r>
          </w:p>
        </w:tc>
      </w:tr>
    </w:tbl>
    <w:p/>
    <w:p>
      <w:pPr>
        <w:pStyle w:val="Heading2"/>
      </w:pPr>
      <w:r>
        <w:t>3.4 Marcos (Milestones)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E293B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Semana</w:t>
            </w:r>
          </w:p>
        </w:tc>
        <w:tc>
          <w:tcPr>
            <w:tcW w:type="dxa" w:w="3135"/>
            <w:shd w:fill="1E293B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Marco</w:t>
            </w:r>
          </w:p>
        </w:tc>
        <w:tc>
          <w:tcPr>
            <w:tcW w:type="dxa" w:w="3135"/>
            <w:shd w:fill="1E293B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Critério de Aceite</w:t>
            </w:r>
          </w:p>
        </w:tc>
      </w:tr>
      <w:tr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S2</w:t>
            </w:r>
          </w:p>
        </w:tc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Discovery concluído</w:t>
            </w:r>
          </w:p>
        </w:tc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Aplicação definida, APIs mapeadas, RFCs submetidas, checklist de acessos completo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S4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Repositórios operacionais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GitFlow configurado, Branch Protection ativo, PRs funcionando</w:t>
            </w:r>
          </w:p>
        </w:tc>
      </w:tr>
      <w:tr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S6</w:t>
            </w:r>
          </w:p>
        </w:tc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Pipeline CI completo</w:t>
            </w:r>
          </w:p>
        </w:tc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Builds Java/Flutter passando, SonarQube integrado, Quality Gates bloqueando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S8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E2E validado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Playwright rodando, mocks WireMock ativos, contratos OpenAPI publicados</w:t>
            </w:r>
          </w:p>
        </w:tc>
      </w:tr>
      <w:tr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S11</w:t>
            </w:r>
          </w:p>
        </w:tc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CD multi-ambiente operacional</w:t>
            </w:r>
          </w:p>
        </w:tc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Deploys UAT/REG/PRD funcionando, Blue-Green ativo, rollback testado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S13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Infraestrutura completa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Terraform provisionando, OpenTelemetry exportando, Grafana com SLOs</w:t>
            </w:r>
          </w:p>
        </w:tc>
      </w:tr>
      <w:tr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S15</w:t>
            </w:r>
          </w:p>
        </w:tc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Handover concluído</w:t>
            </w:r>
          </w:p>
        </w:tc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Documentação aprovada, 3 sessões realizadas, template validado para replicação</w:t>
            </w:r>
          </w:p>
        </w:tc>
      </w:tr>
    </w:tbl>
    <w:p>
      <w:pPr>
        <w:pStyle w:val="Heading2"/>
      </w:pPr>
      <w:r>
        <w:t>3.5 Riscos e Contingências no Cronograma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E293B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Risco</w:t>
            </w:r>
          </w:p>
        </w:tc>
        <w:tc>
          <w:tcPr>
            <w:tcW w:type="dxa" w:w="2351"/>
            <w:shd w:fill="1E293B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Probabilidade</w:t>
            </w:r>
          </w:p>
        </w:tc>
        <w:tc>
          <w:tcPr>
            <w:tcW w:type="dxa" w:w="2351"/>
            <w:shd w:fill="1E293B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Impacto</w:t>
            </w:r>
          </w:p>
        </w:tc>
        <w:tc>
          <w:tcPr>
            <w:tcW w:type="dxa" w:w="2351"/>
            <w:shd w:fill="1E293B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Contingência Incluída</w:t>
            </w:r>
          </w:p>
        </w:tc>
      </w:tr>
      <w:tr>
        <w:tc>
          <w:tcPr>
            <w:tcW w:type="dxa" w:w="235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RFC do COE demora 3-4 semanas</w:t>
            </w:r>
          </w:p>
        </w:tc>
        <w:tc>
          <w:tcPr>
            <w:tcW w:type="dxa" w:w="235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Alta</w:t>
            </w:r>
          </w:p>
        </w:tc>
        <w:tc>
          <w:tcPr>
            <w:tcW w:type="dxa" w:w="235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Atrasa Fases 4 e 5</w:t>
            </w:r>
          </w:p>
        </w:tc>
        <w:tc>
          <w:tcPr>
            <w:tcW w:type="dxa" w:w="235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+2 semanas de buffer distribuídas nas Fases 4-5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BAT atrasa 1 semana para fornecer acessos ADO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Média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Atrasa Fase 1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Fase 0 tem folga de 1 semana para absorver</w:t>
            </w:r>
          </w:p>
        </w:tc>
      </w:tr>
      <w:tr>
        <w:tc>
          <w:tcPr>
            <w:tcW w:type="dxa" w:w="235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SonarQube corporativo exige troubleshooting</w:t>
            </w:r>
          </w:p>
        </w:tc>
        <w:tc>
          <w:tcPr>
            <w:tcW w:type="dxa" w:w="235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Média</w:t>
            </w:r>
          </w:p>
        </w:tc>
        <w:tc>
          <w:tcPr>
            <w:tcW w:type="dxa" w:w="235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Atrasa Fase 2</w:t>
            </w:r>
          </w:p>
        </w:tc>
        <w:tc>
          <w:tcPr>
            <w:tcW w:type="dxa" w:w="235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+16h contingência na Fase 2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Sandbox APIs externas não disponível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Média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Atrasa Fase 3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E2E roda 100% com mocks; validação real na Fase 4</w:t>
            </w:r>
          </w:p>
        </w:tc>
      </w:tr>
      <w:tr>
        <w:tc>
          <w:tcPr>
            <w:tcW w:type="dxa" w:w="235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Problemas de rede (VNet, firewall)</w:t>
            </w:r>
          </w:p>
        </w:tc>
        <w:tc>
          <w:tcPr>
            <w:tcW w:type="dxa" w:w="235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Média</w:t>
            </w:r>
          </w:p>
        </w:tc>
        <w:tc>
          <w:tcPr>
            <w:tcW w:type="dxa" w:w="235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Atrasa Fase 5</w:t>
            </w:r>
          </w:p>
        </w:tc>
        <w:tc>
          <w:tcPr>
            <w:tcW w:type="dxa" w:w="235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+16h contingência na Fase 5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Retrabalho após revisão BAT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Média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Distribui-se nas fases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+24h distribuídas nas Fases 4-6</w:t>
            </w:r>
          </w:p>
        </w:tc>
      </w:tr>
    </w:tbl>
    <w:p>
      <w:r>
        <w:br w:type="page"/>
      </w:r>
    </w:p>
    <w:p>
      <w:pPr>
        <w:pStyle w:val="Heading2"/>
      </w:pPr>
      <w:r>
        <w:t>3.6 Distribuição de Horas por Perfil e Fase</w:t>
      </w:r>
    </w:p>
    <w:p>
      <w:r>
        <w:t>Detalhamento das 700 horas: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E293B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Fase</w:t>
            </w:r>
          </w:p>
        </w:tc>
        <w:tc>
          <w:tcPr>
            <w:tcW w:type="dxa" w:w="1881"/>
            <w:shd w:fill="1E293B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Líder Técnico</w:t>
            </w:r>
          </w:p>
        </w:tc>
        <w:tc>
          <w:tcPr>
            <w:tcW w:type="dxa" w:w="1881"/>
            <w:shd w:fill="1E293B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Engenheiro Sênior</w:t>
            </w:r>
          </w:p>
        </w:tc>
        <w:tc>
          <w:tcPr>
            <w:tcW w:type="dxa" w:w="1881"/>
            <w:shd w:fill="1E293B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Engenheiro Pleno</w:t>
            </w:r>
          </w:p>
        </w:tc>
        <w:tc>
          <w:tcPr>
            <w:tcW w:type="dxa" w:w="1881"/>
            <w:shd w:fill="1E293B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188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Fase 0: Discovery</w:t>
            </w:r>
          </w:p>
        </w:tc>
        <w:tc>
          <w:tcPr>
            <w:tcW w:type="dxa" w:w="188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24h (48%)</w:t>
            </w:r>
          </w:p>
        </w:tc>
        <w:tc>
          <w:tcPr>
            <w:tcW w:type="dxa" w:w="188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16h (32%)</w:t>
            </w:r>
          </w:p>
        </w:tc>
        <w:tc>
          <w:tcPr>
            <w:tcW w:type="dxa" w:w="188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10h (20%)</w:t>
            </w:r>
          </w:p>
        </w:tc>
        <w:tc>
          <w:tcPr>
            <w:tcW w:type="dxa" w:w="188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50h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Fase 1: Repos/GitFlow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20h (33%)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24h (40%)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16h (27%)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60h</w:t>
            </w:r>
          </w:p>
        </w:tc>
      </w:tr>
      <w:tr>
        <w:tc>
          <w:tcPr>
            <w:tcW w:type="dxa" w:w="188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Fase 2: CI/Qualidade</w:t>
            </w:r>
          </w:p>
        </w:tc>
        <w:tc>
          <w:tcPr>
            <w:tcW w:type="dxa" w:w="188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28h (31%)</w:t>
            </w:r>
          </w:p>
        </w:tc>
        <w:tc>
          <w:tcPr>
            <w:tcW w:type="dxa" w:w="188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40h (44%)</w:t>
            </w:r>
          </w:p>
        </w:tc>
        <w:tc>
          <w:tcPr>
            <w:tcW w:type="dxa" w:w="188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22h (24%)</w:t>
            </w:r>
          </w:p>
        </w:tc>
        <w:tc>
          <w:tcPr>
            <w:tcW w:type="dxa" w:w="188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90h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Fase 3: Artefatos/E2E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24h (27%)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36h (40%)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30h (33%)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90h</w:t>
            </w:r>
          </w:p>
        </w:tc>
      </w:tr>
      <w:tr>
        <w:tc>
          <w:tcPr>
            <w:tcW w:type="dxa" w:w="188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Fase 4: CD Multi-Ambiente</w:t>
            </w:r>
          </w:p>
        </w:tc>
        <w:tc>
          <w:tcPr>
            <w:tcW w:type="dxa" w:w="188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36h (30%)</w:t>
            </w:r>
          </w:p>
        </w:tc>
        <w:tc>
          <w:tcPr>
            <w:tcW w:type="dxa" w:w="188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48h (40%)</w:t>
            </w:r>
          </w:p>
        </w:tc>
        <w:tc>
          <w:tcPr>
            <w:tcW w:type="dxa" w:w="188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36h (30%)</w:t>
            </w:r>
          </w:p>
        </w:tc>
        <w:tc>
          <w:tcPr>
            <w:tcW w:type="dxa" w:w="188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120h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Fase 5: Observabilidade/IaC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40h (33%)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52h (43%)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28h (23%)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120h</w:t>
            </w:r>
          </w:p>
        </w:tc>
      </w:tr>
      <w:tr>
        <w:tc>
          <w:tcPr>
            <w:tcW w:type="dxa" w:w="188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Fase 6: Handover</w:t>
            </w:r>
          </w:p>
        </w:tc>
        <w:tc>
          <w:tcPr>
            <w:tcW w:type="dxa" w:w="188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28h (40%)</w:t>
            </w:r>
          </w:p>
        </w:tc>
        <w:tc>
          <w:tcPr>
            <w:tcW w:type="dxa" w:w="188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22h (31%)</w:t>
            </w:r>
          </w:p>
        </w:tc>
        <w:tc>
          <w:tcPr>
            <w:tcW w:type="dxa" w:w="188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20h (29%)</w:t>
            </w:r>
          </w:p>
        </w:tc>
        <w:tc>
          <w:tcPr>
            <w:tcW w:type="dxa" w:w="188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70h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Gestão/Alinhamentos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40h (40%)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32h (32%)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28h (28%)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100h</w:t>
            </w:r>
          </w:p>
        </w:tc>
      </w:tr>
      <w:tr>
        <w:tc>
          <w:tcPr>
            <w:tcW w:type="dxa" w:w="188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TOTAL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88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240h (34%)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88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270h (39%)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88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190h (27%)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88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700h (100%)</w:t>
            </w:r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ind w:left="567"/>
        <w:pBdr>
          <w:left w:val="single" w:sz="12" w:space="4" w:color="0078D4"/>
        </w:pBdr>
      </w:pPr>
      <w:r>
        <w:rPr>
          <w:color w:val="335577"/>
          <w:sz w:val="20"/>
        </w:rPr>
      </w:r>
      <w:r>
        <w:rPr>
          <w:b/>
          <w:color w:val="335577"/>
          <w:sz w:val="20"/>
        </w:rPr>
        <w:t>Nota:</w:t>
      </w:r>
      <w:r>
        <w:rPr>
          <w:color w:val="335577"/>
          <w:sz w:val="20"/>
        </w:rPr>
        <w:t xml:space="preserve"> As Fases 4 e 5 possuem sobreposição intencional (S10-S11) para otimizar o tempo. Enquanto o Sênior finaliza deploys multi-ambiente, o Líder já inicia IaC e observabilidade em paralelo.</w:t>
      </w:r>
    </w:p>
    <w:p/>
    <w:p/>
    <w:p>
      <w:pPr>
        <w:jc w:val="center"/>
      </w:pPr>
      <w:r>
        <w:rPr>
          <w:color w:val="CCCCCC"/>
        </w:rPr>
        <w:t>____________________________________________________________</w:t>
      </w:r>
    </w:p>
    <w:p>
      <w:pPr>
        <w:jc w:val="center"/>
      </w:pPr>
      <w:r>
        <w:rPr>
          <w:b/>
          <w:color w:val="CC0000"/>
          <w:sz w:val="20"/>
        </w:rPr>
        <w:t>CONFIDENCIAL</w:t>
      </w:r>
    </w:p>
    <w:p>
      <w:pPr>
        <w:jc w:val="center"/>
      </w:pPr>
      <w:r>
        <w:rPr>
          <w:color w:val="666666"/>
          <w:sz w:val="18"/>
        </w:rPr>
        <w:t>Documento complementar à Proposta Técnica PT-BAT-DEVSECOPS-2026-001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1E293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E293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E293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E293B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