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8FB" w:rsidRDefault="008B2D13">
      <w:pPr>
        <w:jc w:val="center"/>
      </w:pPr>
      <w:bookmarkStart w:id="0" w:name="_GoBack"/>
      <w:proofErr w:type="spellStart"/>
      <w:r>
        <w:rPr>
          <w:b/>
          <w:sz w:val="48"/>
        </w:rPr>
        <w:t>FinOps</w:t>
      </w:r>
      <w:proofErr w:type="spellEnd"/>
      <w:r>
        <w:rPr>
          <w:b/>
          <w:sz w:val="48"/>
        </w:rPr>
        <w:t xml:space="preserve"> para </w:t>
      </w:r>
      <w:proofErr w:type="spellStart"/>
      <w:r>
        <w:rPr>
          <w:b/>
          <w:sz w:val="48"/>
        </w:rPr>
        <w:t>Databricks</w:t>
      </w:r>
      <w:proofErr w:type="spellEnd"/>
      <w:r>
        <w:rPr>
          <w:b/>
          <w:sz w:val="48"/>
        </w:rPr>
        <w:t>:</w:t>
      </w:r>
    </w:p>
    <w:p w:rsidR="001158FB" w:rsidRDefault="008B2D13">
      <w:r>
        <w:br/>
      </w:r>
    </w:p>
    <w:p w:rsidR="001158FB" w:rsidRDefault="008B2D13">
      <w:r>
        <w:rPr>
          <w:b/>
          <w:sz w:val="36"/>
        </w:rPr>
        <w:t>1. Resumo executivo – Por que implementar agora</w:t>
      </w:r>
    </w:p>
    <w:p w:rsidR="001158FB" w:rsidRDefault="008B2D13">
      <w:pPr>
        <w:pStyle w:val="Commarcadores"/>
      </w:pPr>
      <w:r>
        <w:t xml:space="preserve">FinOps é uma prática operacional e cultural para maximizar o valor de tecnologia, criando responsabilidade </w:t>
      </w:r>
      <w:r>
        <w:t>financeira compartilhada entre Engenha</w:t>
      </w:r>
      <w:r w:rsidR="00A72A91">
        <w:t xml:space="preserve">ria, </w:t>
      </w:r>
      <w:proofErr w:type="spellStart"/>
      <w:r w:rsidR="00A72A91">
        <w:t>Finanças</w:t>
      </w:r>
      <w:proofErr w:type="spellEnd"/>
      <w:r w:rsidR="00A72A91">
        <w:t xml:space="preserve"> e </w:t>
      </w:r>
      <w:proofErr w:type="spellStart"/>
      <w:proofErr w:type="gramStart"/>
      <w:r w:rsidR="00A72A91">
        <w:t>Negócio</w:t>
      </w:r>
      <w:proofErr w:type="spellEnd"/>
      <w:r w:rsidR="00A72A91">
        <w:t xml:space="preserve"> </w:t>
      </w:r>
      <w:r>
        <w:t>]</w:t>
      </w:r>
      <w:proofErr w:type="gramEnd"/>
      <w:r>
        <w:t>.</w:t>
      </w:r>
    </w:p>
    <w:p w:rsidR="001158FB" w:rsidRDefault="008B2D13">
      <w:pPr>
        <w:pStyle w:val="Commarcadores"/>
      </w:pPr>
      <w:r>
        <w:t>Cenário global: prioridades têm favorecido a redução de desperdício e a gestão de compromissos/descontos, além de melhor previsão de gastos [4].</w:t>
      </w:r>
    </w:p>
    <w:p w:rsidR="001158FB" w:rsidRDefault="008B2D13">
      <w:pPr>
        <w:pStyle w:val="Commarcadores"/>
      </w:pPr>
      <w:r>
        <w:t>Princípios Well‑Architected orientam d</w:t>
      </w:r>
      <w:r>
        <w:t>ecisões de custo com trade‑offs explícitos entre confiabilidade, segurança e desempenho; custo otimizado não é necessa</w:t>
      </w:r>
      <w:r w:rsidR="00A72A91">
        <w:t xml:space="preserve">riamente custo </w:t>
      </w:r>
      <w:proofErr w:type="gramStart"/>
      <w:r w:rsidR="00A72A91">
        <w:t>mínimo .</w:t>
      </w:r>
      <w:proofErr w:type="gramEnd"/>
    </w:p>
    <w:p w:rsidR="006E7308" w:rsidRDefault="006E7308" w:rsidP="006E7308">
      <w:pPr>
        <w:rPr>
          <w:b/>
          <w:sz w:val="36"/>
        </w:rPr>
      </w:pPr>
      <w:r>
        <w:rPr>
          <w:b/>
          <w:sz w:val="36"/>
        </w:rPr>
        <w:t xml:space="preserve">2. Contexto observado </w:t>
      </w:r>
    </w:p>
    <w:p w:rsidR="001158FB" w:rsidRDefault="008B2D13" w:rsidP="006E7308">
      <w:proofErr w:type="spellStart"/>
      <w:r>
        <w:t>Ausência</w:t>
      </w:r>
      <w:proofErr w:type="spellEnd"/>
      <w:r>
        <w:t xml:space="preserve"> de </w:t>
      </w:r>
      <w:proofErr w:type="spellStart"/>
      <w:r>
        <w:t>apuração</w:t>
      </w:r>
      <w:proofErr w:type="spellEnd"/>
      <w:r>
        <w:t xml:space="preserve"> de custos por aplicação/área (showback/charge</w:t>
      </w:r>
      <w:r>
        <w:t>back) e baixa accountability.</w:t>
      </w:r>
    </w:p>
    <w:p w:rsidR="001158FB" w:rsidRDefault="008B2D13">
      <w:pPr>
        <w:pStyle w:val="Commarcadores"/>
      </w:pPr>
      <w:r>
        <w:t>I</w:t>
      </w:r>
      <w:r>
        <w:t>ngestão via Azure Data Factory e processamento no Databricks/Lakehouse com grande volume de dado cru.</w:t>
      </w:r>
    </w:p>
    <w:p w:rsidR="001158FB" w:rsidRDefault="008B2D13">
      <w:pPr>
        <w:pStyle w:val="Commarcadores"/>
      </w:pPr>
      <w:r>
        <w:t>Restrições de segurança dificultam integrações diretas; uso de arquivos externos (ex.: Mongo/XLS).</w:t>
      </w:r>
    </w:p>
    <w:p w:rsidR="001158FB" w:rsidRDefault="008B2D13">
      <w:pPr>
        <w:pStyle w:val="Commarcadores"/>
      </w:pPr>
      <w:r>
        <w:t>Databricks no Azure; dem</w:t>
      </w:r>
      <w:r>
        <w:t>ais aplicações em AWS; tendência de apps transacionais consultarem APIs analíticas.</w:t>
      </w:r>
    </w:p>
    <w:p w:rsidR="001158FB" w:rsidRDefault="008B2D13">
      <w:r>
        <w:rPr>
          <w:b/>
          <w:sz w:val="36"/>
        </w:rPr>
        <w:t>3. Objetivos do programa FinOps (Databricks)</w:t>
      </w:r>
    </w:p>
    <w:p w:rsidR="001158FB" w:rsidRDefault="008B2D13">
      <w:pPr>
        <w:pStyle w:val="Commarcadores"/>
      </w:pPr>
      <w:r>
        <w:t>Transparência e responsabilidade de custos por aplicação/ár</w:t>
      </w:r>
      <w:r w:rsidR="00A72A91">
        <w:t>ea (tags e políticas)</w:t>
      </w:r>
      <w:r>
        <w:t>.</w:t>
      </w:r>
    </w:p>
    <w:p w:rsidR="001158FB" w:rsidRDefault="008B2D13">
      <w:pPr>
        <w:pStyle w:val="Commarcadores"/>
      </w:pPr>
      <w:r>
        <w:t>Otimização contínua de DBUs/comput</w:t>
      </w:r>
      <w:r>
        <w:t xml:space="preserve">e e </w:t>
      </w:r>
      <w:proofErr w:type="spellStart"/>
      <w:r>
        <w:t>armazenamento</w:t>
      </w:r>
      <w:proofErr w:type="spellEnd"/>
      <w:r>
        <w:t xml:space="preserve"> (Delta/Photon, </w:t>
      </w:r>
      <w:proofErr w:type="spellStart"/>
      <w:r>
        <w:t>autoscaling</w:t>
      </w:r>
      <w:proofErr w:type="spellEnd"/>
      <w:r>
        <w:t>, aut</w:t>
      </w:r>
      <w:r w:rsidR="00A72A91">
        <w:t>o‑termination).</w:t>
      </w:r>
    </w:p>
    <w:p w:rsidR="001158FB" w:rsidRDefault="008B2D13">
      <w:pPr>
        <w:pStyle w:val="Commarcadores"/>
      </w:pPr>
      <w:r>
        <w:t>Previsibilidade: orçamentos, alertas e detecção de anomalias [5].</w:t>
      </w:r>
    </w:p>
    <w:p w:rsidR="001158FB" w:rsidRDefault="008B2D13">
      <w:pPr>
        <w:pStyle w:val="Commarcadores"/>
      </w:pPr>
      <w:r>
        <w:t xml:space="preserve">Consumo seguro e eficiente para terceiros via APIs/Delta Sharing, </w:t>
      </w:r>
      <w:proofErr w:type="spellStart"/>
      <w:r>
        <w:t>evi</w:t>
      </w:r>
      <w:r w:rsidR="00A72A91">
        <w:t>tando</w:t>
      </w:r>
      <w:proofErr w:type="spellEnd"/>
      <w:r w:rsidR="00A72A91">
        <w:t xml:space="preserve"> dumps não </w:t>
      </w:r>
      <w:proofErr w:type="spellStart"/>
      <w:r w:rsidR="00A72A91">
        <w:t>governados</w:t>
      </w:r>
      <w:proofErr w:type="spellEnd"/>
      <w:r w:rsidR="00A72A91">
        <w:t>.</w:t>
      </w:r>
    </w:p>
    <w:p w:rsidR="001158FB" w:rsidRDefault="008B2D13">
      <w:r>
        <w:rPr>
          <w:b/>
          <w:sz w:val="36"/>
        </w:rPr>
        <w:t>4. Ini</w:t>
      </w:r>
      <w:r>
        <w:rPr>
          <w:b/>
          <w:sz w:val="36"/>
        </w:rPr>
        <w:t xml:space="preserve">ciativas contratáveis </w:t>
      </w:r>
      <w:proofErr w:type="gramStart"/>
      <w:r>
        <w:rPr>
          <w:b/>
          <w:sz w:val="36"/>
        </w:rPr>
        <w:t>como</w:t>
      </w:r>
      <w:proofErr w:type="gramEnd"/>
      <w:r>
        <w:rPr>
          <w:b/>
          <w:sz w:val="36"/>
        </w:rPr>
        <w:t xml:space="preserve"> serviço (estimativas de horas)</w:t>
      </w:r>
    </w:p>
    <w:p w:rsidR="001158FB" w:rsidRDefault="008B2D13" w:rsidP="006E7308">
      <w:proofErr w:type="gramStart"/>
      <w:r>
        <w:rPr>
          <w:b/>
          <w:sz w:val="28"/>
        </w:rPr>
        <w:t>4.1</w:t>
      </w:r>
      <w:proofErr w:type="gramEnd"/>
      <w:r>
        <w:rPr>
          <w:b/>
          <w:sz w:val="28"/>
        </w:rPr>
        <w:t xml:space="preserve"> Assess</w:t>
      </w:r>
      <w:r>
        <w:rPr>
          <w:b/>
          <w:sz w:val="28"/>
        </w:rPr>
        <w:t xml:space="preserve">ment de </w:t>
      </w:r>
      <w:proofErr w:type="spellStart"/>
      <w:r>
        <w:rPr>
          <w:b/>
          <w:sz w:val="28"/>
        </w:rPr>
        <w:t>FinOps</w:t>
      </w:r>
      <w:proofErr w:type="spellEnd"/>
      <w:r>
        <w:rPr>
          <w:b/>
          <w:sz w:val="28"/>
        </w:rPr>
        <w:t xml:space="preserve"> para </w:t>
      </w:r>
      <w:proofErr w:type="spellStart"/>
      <w:r>
        <w:rPr>
          <w:b/>
          <w:sz w:val="28"/>
        </w:rPr>
        <w:t>Databricks</w:t>
      </w:r>
      <w:proofErr w:type="spellEnd"/>
      <w:r>
        <w:rPr>
          <w:b/>
          <w:sz w:val="28"/>
        </w:rPr>
        <w:t xml:space="preserve"> (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custos</w:t>
      </w:r>
      <w:proofErr w:type="spellEnd"/>
      <w:r>
        <w:t xml:space="preserve"> (Azure + tabelas de billing do Databricks) e contratos [11].</w:t>
      </w:r>
    </w:p>
    <w:p w:rsidR="001158FB" w:rsidRDefault="008B2D13">
      <w:pPr>
        <w:pStyle w:val="Commarcadores"/>
      </w:pPr>
      <w:r>
        <w:lastRenderedPageBreak/>
        <w:t>B</w:t>
      </w:r>
      <w:r>
        <w:t xml:space="preserve">aseline de desperdícios: clusters ociosos, </w:t>
      </w:r>
      <w:proofErr w:type="gramStart"/>
      <w:r>
        <w:t>uso</w:t>
      </w:r>
      <w:proofErr w:type="gramEnd"/>
      <w:r>
        <w:t xml:space="preserve"> de All‑Purpose em </w:t>
      </w:r>
      <w:proofErr w:type="spellStart"/>
      <w:r>
        <w:t>tarefas</w:t>
      </w:r>
      <w:proofErr w:type="spellEnd"/>
      <w:r>
        <w:t xml:space="preserve">, </w:t>
      </w:r>
      <w:proofErr w:type="spellStart"/>
      <w:r>
        <w:t>f</w:t>
      </w:r>
      <w:r w:rsidR="00A72A91">
        <w:t>ormatos</w:t>
      </w:r>
      <w:proofErr w:type="spellEnd"/>
      <w:r w:rsidR="00A72A91">
        <w:t xml:space="preserve"> não </w:t>
      </w:r>
      <w:proofErr w:type="spellStart"/>
      <w:r w:rsidR="00A72A91">
        <w:t>otimizados</w:t>
      </w:r>
      <w:proofErr w:type="spellEnd"/>
      <w:r w:rsidR="00A72A91">
        <w:t>.</w:t>
      </w:r>
    </w:p>
    <w:p w:rsidR="001158FB" w:rsidRDefault="008B2D13">
      <w:pPr>
        <w:pStyle w:val="Commarcadores"/>
      </w:pPr>
      <w:r>
        <w:t xml:space="preserve">Plano de ação com quick wins e metas de 90 </w:t>
      </w:r>
      <w:proofErr w:type="gramStart"/>
      <w:r>
        <w:t>dias</w:t>
      </w:r>
      <w:proofErr w:type="gramEnd"/>
      <w:r>
        <w:t>.</w:t>
      </w:r>
    </w:p>
    <w:p w:rsidR="001158FB" w:rsidRDefault="008B2D13">
      <w:pPr>
        <w:pStyle w:val="Commarcadores"/>
      </w:pPr>
      <w:r>
        <w:t>Entrega: relatório executivo e backlog priorizado.</w:t>
      </w:r>
    </w:p>
    <w:p w:rsidR="001158FB" w:rsidRDefault="008B2D13">
      <w:r>
        <w:rPr>
          <w:b/>
          <w:sz w:val="28"/>
        </w:rPr>
        <w:t xml:space="preserve">4.2 Padrão de Tagging &amp; </w:t>
      </w:r>
      <w:r w:rsidR="006E7308">
        <w:rPr>
          <w:b/>
          <w:sz w:val="28"/>
        </w:rPr>
        <w:t xml:space="preserve">Políticas (Azure + Databricks) </w:t>
      </w:r>
    </w:p>
    <w:p w:rsidR="001158FB" w:rsidRDefault="008B2D13">
      <w:pPr>
        <w:pStyle w:val="Commarcadores"/>
      </w:pPr>
      <w:r>
        <w:t>Taxonomia de tags (app, área, owner, centro de c</w:t>
      </w:r>
      <w:r>
        <w:t>usto, ambiente) e herança [8</w:t>
      </w:r>
      <w:proofErr w:type="gramStart"/>
      <w:r>
        <w:t>][</w:t>
      </w:r>
      <w:proofErr w:type="gramEnd"/>
      <w:r>
        <w:t>9].</w:t>
      </w:r>
    </w:p>
    <w:p w:rsidR="001158FB" w:rsidRDefault="008B2D13">
      <w:pPr>
        <w:pStyle w:val="Commarcadores"/>
      </w:pPr>
      <w:r>
        <w:t xml:space="preserve">Automação com Azure Policy e enforcement de compute </w:t>
      </w:r>
      <w:r w:rsidR="006E7308">
        <w:t xml:space="preserve">policies no Databricks </w:t>
      </w:r>
    </w:p>
    <w:p w:rsidR="001158FB" w:rsidRDefault="008B2D13">
      <w:pPr>
        <w:pStyle w:val="Commarcadores"/>
      </w:pPr>
      <w:r>
        <w:t>Dashboards por tag e compliance de alocação (showback).</w:t>
      </w:r>
    </w:p>
    <w:p w:rsidR="001158FB" w:rsidRDefault="008B2D13">
      <w:pPr>
        <w:pStyle w:val="Commarcadores"/>
      </w:pPr>
      <w:r>
        <w:t>Entrega: playbook, políticas e painéis.</w:t>
      </w:r>
    </w:p>
    <w:p w:rsidR="001158FB" w:rsidRDefault="008B2D13">
      <w:proofErr w:type="gramStart"/>
      <w:r>
        <w:rPr>
          <w:b/>
          <w:sz w:val="28"/>
        </w:rPr>
        <w:t>4.3</w:t>
      </w:r>
      <w:proofErr w:type="gramEnd"/>
      <w:r>
        <w:rPr>
          <w:b/>
          <w:sz w:val="28"/>
        </w:rPr>
        <w:t xml:space="preserve"> Otimização de Compute no Databricks </w:t>
      </w:r>
    </w:p>
    <w:p w:rsidR="001158FB" w:rsidRDefault="008B2D13">
      <w:pPr>
        <w:pStyle w:val="Commarcadores"/>
      </w:pPr>
      <w:r>
        <w:t>Adoção de Jobs Compute / SQL Warehouse com Photon (evita</w:t>
      </w:r>
      <w:r w:rsidR="006E7308">
        <w:t>r All‑Purpose em jobs)</w:t>
      </w:r>
    </w:p>
    <w:p w:rsidR="001158FB" w:rsidRDefault="008B2D13">
      <w:pPr>
        <w:pStyle w:val="Commarcadores"/>
      </w:pPr>
      <w:r>
        <w:t>Autoscaling, auto‑termination, pools e limites</w:t>
      </w:r>
      <w:r w:rsidR="006E7308">
        <w:t xml:space="preserve"> de DBUs/h via </w:t>
      </w:r>
      <w:proofErr w:type="gramStart"/>
      <w:r w:rsidR="006E7308">
        <w:t xml:space="preserve">policies </w:t>
      </w:r>
      <w:r>
        <w:t>.</w:t>
      </w:r>
      <w:proofErr w:type="gramEnd"/>
    </w:p>
    <w:p w:rsidR="001158FB" w:rsidRDefault="008B2D13">
      <w:pPr>
        <w:pStyle w:val="Commarcadores"/>
      </w:pPr>
      <w:r>
        <w:t>Diretrizes de sizing por wo</w:t>
      </w:r>
      <w:r w:rsidR="006E7308">
        <w:t xml:space="preserve">rkload e uso de Delta Lake </w:t>
      </w:r>
    </w:p>
    <w:p w:rsidR="001158FB" w:rsidRDefault="008B2D13">
      <w:pPr>
        <w:pStyle w:val="Commarcadores"/>
      </w:pPr>
      <w:r>
        <w:t>Entrega: policies</w:t>
      </w:r>
      <w:r>
        <w:t>, templates e resultados antes/depois.</w:t>
      </w:r>
    </w:p>
    <w:p w:rsidR="001158FB" w:rsidRDefault="008B2D13">
      <w:r>
        <w:rPr>
          <w:b/>
          <w:sz w:val="28"/>
        </w:rPr>
        <w:t xml:space="preserve">4.4 Showback/Chargeback e Reconciliação </w:t>
      </w:r>
    </w:p>
    <w:p w:rsidR="001158FB" w:rsidRDefault="008B2D13">
      <w:pPr>
        <w:pStyle w:val="Commarcadores"/>
      </w:pPr>
      <w:r>
        <w:t>Modelo de alocação (tags, hierarquias,</w:t>
      </w:r>
      <w:r w:rsidR="006E7308">
        <w:t xml:space="preserve"> custos compartilhados) </w:t>
      </w:r>
    </w:p>
    <w:p w:rsidR="001158FB" w:rsidRDefault="008B2D13">
      <w:pPr>
        <w:pStyle w:val="Commarcadores"/>
      </w:pPr>
      <w:r>
        <w:t>Integração com finanças: ciclos de fecha</w:t>
      </w:r>
      <w:r w:rsidR="006E7308">
        <w:t xml:space="preserve">mento e relatórios oficiais </w:t>
      </w:r>
    </w:p>
    <w:p w:rsidR="001158FB" w:rsidRDefault="008B2D13">
      <w:pPr>
        <w:pStyle w:val="Commarcadores"/>
      </w:pPr>
      <w:r>
        <w:t>Publicação em Power BI/</w:t>
      </w:r>
      <w:r>
        <w:t>AI BI (system tables +</w:t>
      </w:r>
      <w:r w:rsidR="006E7308">
        <w:t xml:space="preserve"> Azure Cost Management)</w:t>
      </w:r>
    </w:p>
    <w:p w:rsidR="001158FB" w:rsidRDefault="008B2D13">
      <w:pPr>
        <w:pStyle w:val="Commarcadores"/>
      </w:pPr>
      <w:r>
        <w:t>Entrega: relatórios mensais e runbook de fechamento.</w:t>
      </w:r>
    </w:p>
    <w:p w:rsidR="001158FB" w:rsidRDefault="008B2D13">
      <w:r>
        <w:rPr>
          <w:b/>
          <w:sz w:val="28"/>
        </w:rPr>
        <w:t>4.5 O</w:t>
      </w:r>
      <w:r w:rsidR="006E7308">
        <w:rPr>
          <w:b/>
          <w:sz w:val="28"/>
        </w:rPr>
        <w:t xml:space="preserve">rçamentos, Alertas e Anomalias </w:t>
      </w:r>
    </w:p>
    <w:p w:rsidR="001158FB" w:rsidRDefault="008B2D13">
      <w:pPr>
        <w:pStyle w:val="Commarcadores"/>
      </w:pPr>
      <w:r>
        <w:t>Orçamentos e alertas p</w:t>
      </w:r>
      <w:r w:rsidR="006E7308">
        <w:t xml:space="preserve">or aplicação/área/workspace </w:t>
      </w:r>
    </w:p>
    <w:p w:rsidR="001158FB" w:rsidRDefault="008B2D13">
      <w:pPr>
        <w:pStyle w:val="Commarcadores"/>
      </w:pPr>
      <w:r>
        <w:t>Detecção de anomalias e processo de resposta.</w:t>
      </w:r>
    </w:p>
    <w:p w:rsidR="001158FB" w:rsidRDefault="008B2D13">
      <w:pPr>
        <w:pStyle w:val="Commarcadores"/>
      </w:pPr>
      <w:r>
        <w:t>Pr</w:t>
      </w:r>
      <w:r>
        <w:t>evisões de gasto (forecast) e variação mês a mês.</w:t>
      </w:r>
    </w:p>
    <w:p w:rsidR="001158FB" w:rsidRDefault="008B2D13">
      <w:pPr>
        <w:pStyle w:val="Commarcadores"/>
      </w:pPr>
      <w:r>
        <w:t>Entrega: dashboards operacionais e de gestão.</w:t>
      </w:r>
    </w:p>
    <w:p w:rsidR="001158FB" w:rsidRDefault="008B2D13">
      <w:r>
        <w:rPr>
          <w:b/>
          <w:sz w:val="28"/>
        </w:rPr>
        <w:t>4.6 Padrão de Cons</w:t>
      </w:r>
      <w:r w:rsidR="006E7308">
        <w:rPr>
          <w:b/>
          <w:sz w:val="28"/>
        </w:rPr>
        <w:t>umo: APIs/Delta Sharing</w:t>
      </w:r>
    </w:p>
    <w:p w:rsidR="001158FB" w:rsidRDefault="008B2D13">
      <w:pPr>
        <w:pStyle w:val="Commarcadores"/>
      </w:pPr>
      <w:r>
        <w:t xml:space="preserve">Arquitetura para consumo externo </w:t>
      </w:r>
      <w:proofErr w:type="spellStart"/>
      <w:r>
        <w:t>governado</w:t>
      </w:r>
      <w:proofErr w:type="spellEnd"/>
      <w:r w:rsidR="006E7308">
        <w:t xml:space="preserve">, </w:t>
      </w:r>
      <w:proofErr w:type="spellStart"/>
      <w:r w:rsidR="006E7308">
        <w:t>evitando</w:t>
      </w:r>
      <w:proofErr w:type="spellEnd"/>
      <w:r w:rsidR="006E7308">
        <w:t xml:space="preserve"> dumps XLS/Mongo.</w:t>
      </w:r>
    </w:p>
    <w:p w:rsidR="001158FB" w:rsidRDefault="008B2D13">
      <w:pPr>
        <w:pStyle w:val="Commarcadores"/>
      </w:pPr>
      <w:r>
        <w:t>Catálogo, contratos de dados e SLA</w:t>
      </w:r>
      <w:r>
        <w:t>s (latência, disponibilidade).</w:t>
      </w:r>
    </w:p>
    <w:p w:rsidR="001158FB" w:rsidRDefault="008B2D13">
      <w:pPr>
        <w:pStyle w:val="Commarcadores"/>
      </w:pPr>
      <w:r>
        <w:t>Mecanismos de caching e custo por consulta.</w:t>
      </w:r>
    </w:p>
    <w:p w:rsidR="001158FB" w:rsidRDefault="008B2D13">
      <w:pPr>
        <w:pStyle w:val="Commarcadores"/>
      </w:pPr>
      <w:r>
        <w:t>Entrega: APIs/warehouses e documentação.</w:t>
      </w:r>
    </w:p>
    <w:p w:rsidR="006E7308" w:rsidRDefault="008B2D13" w:rsidP="006E7308">
      <w:pPr>
        <w:rPr>
          <w:b/>
          <w:sz w:val="28"/>
        </w:rPr>
      </w:pPr>
      <w:r>
        <w:rPr>
          <w:b/>
          <w:sz w:val="28"/>
        </w:rPr>
        <w:t>4.7 Revisão Multicloud (Azure ↔ AWS)</w:t>
      </w:r>
    </w:p>
    <w:p w:rsidR="001158FB" w:rsidRDefault="008B2D13" w:rsidP="006E7308">
      <w:r>
        <w:rPr>
          <w:b/>
          <w:sz w:val="28"/>
        </w:rPr>
        <w:t xml:space="preserve"> </w:t>
      </w:r>
      <w:proofErr w:type="spellStart"/>
      <w:r>
        <w:t>Mapa</w:t>
      </w:r>
      <w:proofErr w:type="spellEnd"/>
      <w:r>
        <w:t xml:space="preserve"> de </w:t>
      </w:r>
      <w:proofErr w:type="spellStart"/>
      <w:r>
        <w:t>fluxos</w:t>
      </w:r>
      <w:proofErr w:type="spellEnd"/>
      <w:r>
        <w:t xml:space="preserve"> e custos de egress/latência.</w:t>
      </w:r>
    </w:p>
    <w:p w:rsidR="001158FB" w:rsidRDefault="008B2D13">
      <w:pPr>
        <w:pStyle w:val="Commarcadores"/>
      </w:pPr>
      <w:r>
        <w:t>A</w:t>
      </w:r>
      <w:r>
        <w:t>lternativas de placement e caching para workloads</w:t>
      </w:r>
      <w:r>
        <w:t xml:space="preserve"> analíticos.</w:t>
      </w:r>
    </w:p>
    <w:p w:rsidR="001158FB" w:rsidRDefault="008B2D13">
      <w:pPr>
        <w:pStyle w:val="Commarcadores"/>
      </w:pPr>
      <w:r>
        <w:lastRenderedPageBreak/>
        <w:t>Recomendações Well‑Architected com trade‑offs [5][6][7].</w:t>
      </w:r>
    </w:p>
    <w:p w:rsidR="001158FB" w:rsidRDefault="008B2D13">
      <w:pPr>
        <w:pStyle w:val="Commarcadores"/>
      </w:pPr>
      <w:r>
        <w:t>Entrega: relatório técnico e financeiro.</w:t>
      </w:r>
    </w:p>
    <w:p w:rsidR="001158FB" w:rsidRDefault="008B2D13">
      <w:r>
        <w:rPr>
          <w:b/>
          <w:sz w:val="28"/>
        </w:rPr>
        <w:t xml:space="preserve">4.8 Qualidade &amp; Governança de Dados </w:t>
      </w:r>
      <w:proofErr w:type="spellStart"/>
      <w:r>
        <w:rPr>
          <w:b/>
          <w:sz w:val="28"/>
        </w:rPr>
        <w:t>orientada</w:t>
      </w:r>
      <w:proofErr w:type="spellEnd"/>
      <w:r>
        <w:rPr>
          <w:b/>
          <w:sz w:val="28"/>
        </w:rPr>
        <w:t xml:space="preserve"> a </w:t>
      </w:r>
      <w:proofErr w:type="spellStart"/>
      <w:r>
        <w:rPr>
          <w:b/>
          <w:sz w:val="28"/>
        </w:rPr>
        <w:t>FinOps</w:t>
      </w:r>
      <w:proofErr w:type="spellEnd"/>
    </w:p>
    <w:p w:rsidR="001158FB" w:rsidRDefault="008B2D13">
      <w:pPr>
        <w:pStyle w:val="Commarcadores"/>
      </w:pPr>
      <w:r>
        <w:t>Catálogo e certificação (bronze/prata/ouro) conectados a custos [3].</w:t>
      </w:r>
    </w:p>
    <w:p w:rsidR="001158FB" w:rsidRDefault="008B2D13">
      <w:pPr>
        <w:pStyle w:val="Commarcadores"/>
      </w:pPr>
      <w:r>
        <w:t>Regras de q</w:t>
      </w:r>
      <w:r>
        <w:t>ualidade com SLAs e impacto financeiro (retrabalhos, desperdício).</w:t>
      </w:r>
    </w:p>
    <w:p w:rsidR="001158FB" w:rsidRDefault="008B2D13">
      <w:pPr>
        <w:pStyle w:val="Commarcadores"/>
      </w:pPr>
      <w:r>
        <w:t>Instrumentação de linhagem para accountability.</w:t>
      </w:r>
    </w:p>
    <w:p w:rsidR="001158FB" w:rsidRDefault="008B2D13">
      <w:pPr>
        <w:pStyle w:val="Commarcadores"/>
      </w:pPr>
      <w:r>
        <w:t>Entrega: métricas de qualidade e impacto em custo.</w:t>
      </w:r>
    </w:p>
    <w:p w:rsidR="001158FB" w:rsidRDefault="008B2D13">
      <w:r>
        <w:rPr>
          <w:b/>
          <w:sz w:val="36"/>
        </w:rPr>
        <w:t>9. Conclusão (executiva)</w:t>
      </w:r>
    </w:p>
    <w:p w:rsidR="001158FB" w:rsidRDefault="008B2D13">
      <w:pPr>
        <w:pStyle w:val="Commarcadores"/>
      </w:pPr>
      <w:r>
        <w:t>FinOps no Databricks entrega valor rápido: visibilidade, redução de desperdíci</w:t>
      </w:r>
      <w:r w:rsidR="006E7308">
        <w:t xml:space="preserve">o e previsibilidade </w:t>
      </w:r>
    </w:p>
    <w:p w:rsidR="001158FB" w:rsidRDefault="008B2D13">
      <w:pPr>
        <w:pStyle w:val="Commarcadores"/>
      </w:pPr>
      <w:r>
        <w:t>As iniciativas são modulares e</w:t>
      </w:r>
      <w:r>
        <w:t xml:space="preserve"> contratáveis por pacotes de horas, com entregas </w:t>
      </w:r>
      <w:proofErr w:type="gramStart"/>
      <w:r>
        <w:t>claras</w:t>
      </w:r>
      <w:proofErr w:type="gramEnd"/>
      <w:r>
        <w:t xml:space="preserve"> para gestão e operação.</w:t>
      </w:r>
    </w:p>
    <w:bookmarkEnd w:id="0"/>
    <w:p w:rsidR="001158FB" w:rsidRDefault="001158FB" w:rsidP="006E7308">
      <w:pPr>
        <w:pStyle w:val="Numerada"/>
        <w:numPr>
          <w:ilvl w:val="0"/>
          <w:numId w:val="0"/>
        </w:numPr>
        <w:ind w:left="360"/>
      </w:pPr>
    </w:p>
    <w:sectPr w:rsidR="001158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60ED49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58FB"/>
    <w:rsid w:val="0015074B"/>
    <w:rsid w:val="0029639D"/>
    <w:rsid w:val="00326F90"/>
    <w:rsid w:val="006E7308"/>
    <w:rsid w:val="008B2D13"/>
    <w:rsid w:val="00A72A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6D24D"/>
  <w14:defaultImageDpi w14:val="300"/>
  <w15:docId w15:val="{6D007884-6C78-4B4D-BDC3-51B7429F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AB9FF4-6B6C-4D38-95FA-5AE366A5F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3340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2</cp:revision>
  <dcterms:created xsi:type="dcterms:W3CDTF">2026-03-26T12:25:00Z</dcterms:created>
  <dcterms:modified xsi:type="dcterms:W3CDTF">2026-03-26T12:25:00Z</dcterms:modified>
  <cp:category/>
</cp:coreProperties>
</file>