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BDF" w:rsidRPr="003563D7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6"/>
          <w:szCs w:val="26"/>
        </w:rPr>
      </w:pPr>
      <w:bookmarkStart w:id="0" w:name="_GoBack"/>
      <w:bookmarkEnd w:id="0"/>
      <w:r w:rsidRPr="003563D7">
        <w:rPr>
          <w:rFonts w:ascii="Arial" w:hAnsi="Arial" w:cs="Arial"/>
          <w:b/>
          <w:bCs/>
          <w:sz w:val="26"/>
          <w:szCs w:val="26"/>
        </w:rPr>
        <w:t xml:space="preserve">Pós-venda Crédito Imobiliário: Amortização e quitação com recursos próprios </w:t>
      </w:r>
    </w:p>
    <w:p w:rsidR="00200BDF" w:rsidRDefault="00200BDF" w:rsidP="00200B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Domínio Funcional:  </w:t>
      </w:r>
      <w:r w:rsidRPr="003563D7"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  <w:t>Adquirir e Emprestar</w:t>
      </w:r>
    </w:p>
    <w:p w:rsidR="00200BDF" w:rsidRDefault="00200BDF" w:rsidP="00200B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Sequência Arquitetura: </w:t>
      </w:r>
    </w:p>
    <w:p w:rsidR="00200BDF" w:rsidRDefault="00200BDF" w:rsidP="00200BDF">
      <w:pPr>
        <w:rPr>
          <w:rFonts w:ascii="Arial" w:hAnsi="Arial" w:cs="Arial"/>
          <w:b/>
          <w:bCs/>
          <w:color w:val="FF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Identificação no </w:t>
      </w:r>
      <w:proofErr w:type="spellStart"/>
      <w:r>
        <w:rPr>
          <w:rFonts w:ascii="Arial" w:hAnsi="Arial" w:cs="Arial"/>
          <w:b/>
          <w:bCs/>
          <w:color w:val="FF0000"/>
          <w:sz w:val="30"/>
          <w:szCs w:val="30"/>
        </w:rPr>
        <w:t>Journey</w:t>
      </w:r>
      <w:proofErr w:type="spellEnd"/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: </w:t>
      </w:r>
    </w:p>
    <w:p w:rsidR="00200BDF" w:rsidRDefault="00200BDF" w:rsidP="00200BDF">
      <w:pPr>
        <w:rPr>
          <w:rFonts w:ascii="Arial" w:hAnsi="Arial" w:cs="Arial"/>
          <w:b/>
          <w:bCs/>
          <w:color w:val="FF0000"/>
          <w:sz w:val="30"/>
          <w:szCs w:val="30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Crédito Imobiliário resumo:</w:t>
      </w: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 xml:space="preserve">É a linha de Crédito do Bradesco para aquisição de imóveis residenciais, comerciais e lotes urbanos, ou término de construção de imóveis residenciais.  </w:t>
      </w: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/>
          <w:bCs/>
        </w:rPr>
      </w:pPr>
      <w:r w:rsidRPr="00F53901">
        <w:rPr>
          <w:rFonts w:ascii="Arial" w:hAnsi="Arial" w:cs="Arial"/>
          <w:b/>
          <w:bCs/>
        </w:rPr>
        <w:t>Condições: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Ser cliente Bradesco;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Possuir cadastro atualizado;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Ser maior de 18 anos ou emancipado;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Comprovar rendimentos suficientes para o financiamento;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Apresentar toda a documentação exigida para a operação;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O imóvel deve preencher os requisitos de financiamento.</w:t>
      </w:r>
    </w:p>
    <w:p w:rsidR="00200BDF" w:rsidRPr="00F53901" w:rsidRDefault="00200BDF" w:rsidP="00200BDF">
      <w:pPr>
        <w:pStyle w:val="PargrafodaLista"/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</w:rPr>
      </w:pPr>
      <w:r w:rsidRPr="00F53901">
        <w:rPr>
          <w:rFonts w:ascii="Arial" w:hAnsi="Arial" w:cs="Arial"/>
          <w:b/>
          <w:bCs/>
        </w:rPr>
        <w:t>Linhas de Financiamento:</w:t>
      </w:r>
    </w:p>
    <w:p w:rsidR="00200BDF" w:rsidRPr="00F53901" w:rsidRDefault="00200BDF" w:rsidP="00200BDF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numPr>
          <w:ilvl w:val="0"/>
          <w:numId w:val="1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SFH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residenciais. O imóvel deverá ser avaliado em até R$1,5 milhões e poderá ser financiado até 80% do valor de avaliação.</w:t>
      </w:r>
    </w:p>
    <w:p w:rsidR="00200BDF" w:rsidRPr="00F53901" w:rsidRDefault="00200BDF" w:rsidP="00200BDF">
      <w:pPr>
        <w:pStyle w:val="PargrafodaLista"/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numPr>
          <w:ilvl w:val="0"/>
          <w:numId w:val="1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CHH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residenciais. São para imóveis em que o valor é superior a R$1,5 milhões, e poderá ser financiado até 80% do valor de avaliação. Não poderá ser utilizado o FGTS.</w:t>
      </w:r>
    </w:p>
    <w:p w:rsidR="00200BDF" w:rsidRPr="00F53901" w:rsidRDefault="00200BDF" w:rsidP="00200BDF">
      <w:pPr>
        <w:pStyle w:val="PargrafodaLista"/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numPr>
          <w:ilvl w:val="0"/>
          <w:numId w:val="1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CHC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comerciais (salas e escritórios) e lotes urbanos. Não poderá ser utilizado o FGTS. Pessoas Físicas poderão financiar até 60% e pessoa jurídica 70% na aquisição de salas e escritórios. Para lotes urbanos o financiamento é de 70%.</w:t>
      </w: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/>
          <w:bCs/>
          <w:u w:val="single"/>
        </w:rPr>
      </w:pPr>
      <w:r w:rsidRPr="00F53901">
        <w:rPr>
          <w:rFonts w:ascii="Arial" w:hAnsi="Arial" w:cs="Arial"/>
          <w:b/>
          <w:bCs/>
          <w:u w:val="single"/>
        </w:rPr>
        <w:t>Sistemas de Amortização</w:t>
      </w:r>
    </w:p>
    <w:p w:rsidR="00200BDF" w:rsidRPr="003563D7" w:rsidRDefault="00200BDF" w:rsidP="00200BDF">
      <w:pPr>
        <w:tabs>
          <w:tab w:val="left" w:pos="142"/>
        </w:tabs>
        <w:ind w:left="142"/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São modelos matemáticos desenvolvidos para operações de empréstimos e financiamentos, envolvendo o desembolso periódicos do principal e demais encargos financeiros, objetivando quitar a dívida contratada. As operações de Crédito Imobiliário Bradesco trabalham com o SAC e Tabela Price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</w:rPr>
      </w:pPr>
    </w:p>
    <w:p w:rsidR="00200BDF" w:rsidRPr="003506CA" w:rsidRDefault="00200BDF" w:rsidP="00200BDF">
      <w:pPr>
        <w:tabs>
          <w:tab w:val="left" w:pos="142"/>
        </w:tabs>
        <w:rPr>
          <w:rFonts w:ascii="Arial" w:hAnsi="Arial" w:cs="Arial"/>
          <w:b/>
          <w:bCs/>
          <w:u w:val="single"/>
        </w:rPr>
      </w:pPr>
      <w:r w:rsidRPr="003506CA">
        <w:rPr>
          <w:rFonts w:ascii="Arial" w:hAnsi="Arial" w:cs="Arial"/>
          <w:b/>
          <w:bCs/>
          <w:u w:val="single"/>
        </w:rPr>
        <w:t>Uso do FGTS</w:t>
      </w:r>
    </w:p>
    <w:p w:rsidR="00200BDF" w:rsidRPr="003506CA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506CA">
        <w:rPr>
          <w:rFonts w:ascii="Arial" w:hAnsi="Arial" w:cs="Arial"/>
          <w:bCs/>
          <w:sz w:val="20"/>
          <w:szCs w:val="20"/>
        </w:rPr>
        <w:t>É permitido o uso do FGTS nas operações de aquisição de imóveis residenciais, ou término de construção de imóveis residenciais, desde que o proponente e o imóvel se enquadrem às regras de utilização do fundo. O FGTS poderá ser utilizado no início do financiamento e durante, no abatimento do saldo devedor, ou parcelas.</w:t>
      </w:r>
    </w:p>
    <w:p w:rsidR="00200BDF" w:rsidRPr="003506CA" w:rsidRDefault="00200BDF" w:rsidP="00200BDF">
      <w:pPr>
        <w:tabs>
          <w:tab w:val="left" w:pos="142"/>
        </w:tabs>
        <w:rPr>
          <w:rFonts w:ascii="Arial" w:hAnsi="Arial" w:cs="Arial"/>
          <w:b/>
          <w:bCs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Escopo do documento:</w:t>
      </w:r>
    </w:p>
    <w:p w:rsidR="00200BDF" w:rsidRPr="0011621C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11621C">
        <w:rPr>
          <w:rFonts w:ascii="Arial" w:hAnsi="Arial" w:cs="Arial"/>
          <w:bCs/>
          <w:sz w:val="20"/>
          <w:szCs w:val="20"/>
        </w:rPr>
        <w:t>Entrega da arquitetura Cloud Azure nos ambientes de DEV, HML e PRD para o projeto de pós-contratação de Crédito Imobiliário, incluindo amortização de prazo com recursos próprios e quitação com recursos próprios.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Status: </w:t>
      </w:r>
      <w:r w:rsidRPr="00F53901">
        <w:rPr>
          <w:rFonts w:ascii="Arial" w:hAnsi="Arial" w:cs="Arial"/>
          <w:b/>
          <w:bCs/>
          <w:color w:val="1F4E79" w:themeColor="accent1" w:themeShade="80"/>
          <w:highlight w:val="yellow"/>
        </w:rPr>
        <w:t>em andamento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Contexto: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Atualmente dentro do APP Mobile do Bradesco na opção Imobiliário tem um evento de </w:t>
      </w:r>
      <w:r w:rsidRPr="00CD23ED">
        <w:rPr>
          <w:rFonts w:ascii="Arial" w:hAnsi="Arial" w:cs="Arial"/>
          <w:b/>
          <w:bCs/>
          <w:sz w:val="20"/>
          <w:szCs w:val="20"/>
        </w:rPr>
        <w:t>prorrogação de parcelas,</w:t>
      </w:r>
      <w:r>
        <w:rPr>
          <w:rFonts w:ascii="Arial" w:hAnsi="Arial" w:cs="Arial"/>
          <w:bCs/>
          <w:sz w:val="20"/>
          <w:szCs w:val="20"/>
        </w:rPr>
        <w:t xml:space="preserve"> onde o cliente tem a possibilidade de ficar sem pagar parcelas do financiamento imobiliário, e essas parcelas são incorporadas no saldo devedor e o Bradesco para de cobrar durante 3 meses do cliente.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Também está disponível o extrato apresentando a evolução futura do cliente, com a situação atual do financiamento.</w:t>
      </w:r>
    </w:p>
    <w:p w:rsidR="00200BDF" w:rsidRPr="00BE4CC0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 vamos realizar a d</w:t>
      </w:r>
      <w:r w:rsidRPr="00BE4CC0">
        <w:rPr>
          <w:rFonts w:ascii="Arial" w:hAnsi="Arial" w:cs="Arial"/>
          <w:bCs/>
          <w:sz w:val="20"/>
          <w:szCs w:val="20"/>
        </w:rPr>
        <w:t>isponibilização do sistema de pós-venda para simulação de quitação por saldo devedor, s</w:t>
      </w:r>
      <w:r w:rsidRPr="00BE4CC0">
        <w:rPr>
          <w:rFonts w:ascii="Segoe UI" w:hAnsi="Segoe UI" w:cs="Segoe UI"/>
          <w:sz w:val="21"/>
          <w:szCs w:val="21"/>
          <w:shd w:val="clear" w:color="auto" w:fill="FFFFFF"/>
        </w:rPr>
        <w:t xml:space="preserve">imulação de amortização reduzindo prazo total ou valor de todas as parcelas </w:t>
      </w:r>
      <w:r w:rsidRPr="00BE4CC0">
        <w:rPr>
          <w:rFonts w:ascii="Arial" w:hAnsi="Arial" w:cs="Arial"/>
          <w:bCs/>
          <w:sz w:val="20"/>
          <w:szCs w:val="20"/>
        </w:rPr>
        <w:t xml:space="preserve">em contratos de créditos imobiliários, no Canal Mobile. </w:t>
      </w:r>
    </w:p>
    <w:p w:rsidR="00200BDF" w:rsidRPr="00BE4CC0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E4CC0">
        <w:rPr>
          <w:rFonts w:ascii="Arial" w:hAnsi="Arial" w:cs="Arial"/>
          <w:bCs/>
          <w:sz w:val="20"/>
          <w:szCs w:val="20"/>
        </w:rPr>
        <w:t>Esse sistema permitirá a realizações de operação de antecipação das últimas parcelas do financiamento ou a quitação do contrato do financiamento imobiliário.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E4CC0">
        <w:rPr>
          <w:rFonts w:ascii="Arial" w:hAnsi="Arial" w:cs="Arial"/>
          <w:b/>
          <w:bCs/>
          <w:sz w:val="20"/>
          <w:szCs w:val="20"/>
        </w:rPr>
        <w:t>Nesse MVP01</w:t>
      </w:r>
      <w:r w:rsidRPr="00BE4CC0">
        <w:rPr>
          <w:rFonts w:ascii="Arial" w:hAnsi="Arial" w:cs="Arial"/>
          <w:bCs/>
          <w:sz w:val="20"/>
          <w:szCs w:val="20"/>
        </w:rPr>
        <w:t xml:space="preserve"> estará sendo entregue o sistema de pós-vendas para simulação, amortização e quitação de contratos imobiliários </w:t>
      </w:r>
      <w:r>
        <w:rPr>
          <w:rFonts w:ascii="Arial" w:hAnsi="Arial" w:cs="Arial"/>
          <w:bCs/>
          <w:sz w:val="20"/>
          <w:szCs w:val="20"/>
        </w:rPr>
        <w:t xml:space="preserve">com recursos próprios no canal mobile </w:t>
      </w:r>
      <w:r>
        <w:rPr>
          <w:rFonts w:ascii="Arial" w:hAnsi="Arial" w:cs="Arial"/>
          <w:b/>
          <w:bCs/>
          <w:sz w:val="20"/>
          <w:szCs w:val="20"/>
        </w:rPr>
        <w:t>via PIX e D</w:t>
      </w:r>
      <w:r w:rsidRPr="00B72E2C">
        <w:rPr>
          <w:rFonts w:ascii="Arial" w:hAnsi="Arial" w:cs="Arial"/>
          <w:b/>
          <w:bCs/>
          <w:sz w:val="20"/>
          <w:szCs w:val="20"/>
        </w:rPr>
        <w:t>ébito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073E7">
        <w:rPr>
          <w:rFonts w:ascii="Arial" w:hAnsi="Arial" w:cs="Arial"/>
          <w:b/>
          <w:bCs/>
          <w:sz w:val="20"/>
          <w:szCs w:val="20"/>
        </w:rPr>
        <w:t>em conta</w:t>
      </w:r>
      <w:r>
        <w:rPr>
          <w:rFonts w:ascii="Arial" w:hAnsi="Arial" w:cs="Arial"/>
          <w:bCs/>
          <w:sz w:val="20"/>
          <w:szCs w:val="20"/>
        </w:rPr>
        <w:t xml:space="preserve"> para correntistas do Bradesco.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Nos próximos </w:t>
      </w:r>
      <w:proofErr w:type="spellStart"/>
      <w:r>
        <w:rPr>
          <w:rFonts w:ascii="Arial" w:hAnsi="Arial" w:cs="Arial"/>
          <w:bCs/>
          <w:sz w:val="20"/>
          <w:szCs w:val="20"/>
        </w:rPr>
        <w:t>MVPs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será abordado.</w:t>
      </w:r>
    </w:p>
    <w:p w:rsidR="00200BDF" w:rsidRPr="00B72E2C" w:rsidRDefault="00200BDF" w:rsidP="00200BDF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Amortização e Quitação no canal IB</w:t>
      </w:r>
    </w:p>
    <w:p w:rsidR="00200BDF" w:rsidRPr="00B72E2C" w:rsidRDefault="00200BDF" w:rsidP="00200BDF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Recursos próprio pagamento via boleto</w:t>
      </w:r>
    </w:p>
    <w:p w:rsidR="00200BDF" w:rsidRDefault="00200BDF" w:rsidP="00200BDF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Uso do FGTS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</w:p>
    <w:p w:rsidR="00200BDF" w:rsidRPr="00BE4CC0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r w:rsidRPr="00BE4CC0">
        <w:rPr>
          <w:rFonts w:ascii="Arial" w:hAnsi="Arial" w:cs="Arial"/>
          <w:b/>
          <w:bCs/>
          <w:sz w:val="21"/>
          <w:szCs w:val="21"/>
        </w:rPr>
        <w:t>Regras Aplicáveis</w:t>
      </w:r>
      <w:r>
        <w:rPr>
          <w:rFonts w:ascii="Arial" w:hAnsi="Arial" w:cs="Arial"/>
          <w:b/>
          <w:bCs/>
          <w:sz w:val="21"/>
          <w:szCs w:val="21"/>
        </w:rPr>
        <w:t xml:space="preserve"> para Amortização</w:t>
      </w:r>
      <w:r w:rsidRPr="00BE4CC0">
        <w:rPr>
          <w:rFonts w:ascii="Arial" w:hAnsi="Arial" w:cs="Arial"/>
          <w:b/>
          <w:bCs/>
          <w:sz w:val="21"/>
          <w:szCs w:val="21"/>
        </w:rPr>
        <w:t>: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Contrato está devidamente registrado em cartório;</w:t>
      </w:r>
    </w:p>
    <w:p w:rsidR="00200BDF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Contrato está em dia;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Ter pago no mínimo 1 parcela do financiamento;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Valor a amortizar ser de no mínimo 1 cota de amortização atual;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Amortização sempre da última parcela do prazo;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Evento realizado apenas em dias uteis no horário de 08:00 as 18:00, até 1 dia útil antes do vencimento da parcela;</w:t>
      </w:r>
    </w:p>
    <w:p w:rsidR="00200BDF" w:rsidRPr="003B18DC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Do Fluxo: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Cliente com o </w:t>
      </w:r>
      <w:proofErr w:type="spellStart"/>
      <w:r>
        <w:rPr>
          <w:rFonts w:ascii="Arial" w:hAnsi="Arial" w:cs="Arial"/>
          <w:bCs/>
          <w:sz w:val="20"/>
          <w:szCs w:val="20"/>
        </w:rPr>
        <w:t>App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Mobile do Bradesco aberto e logado, entra no menu do </w:t>
      </w:r>
      <w:r w:rsidRPr="003B6CE4">
        <w:rPr>
          <w:rFonts w:ascii="Arial" w:hAnsi="Arial" w:cs="Arial"/>
          <w:b/>
          <w:bCs/>
          <w:sz w:val="20"/>
          <w:szCs w:val="20"/>
        </w:rPr>
        <w:t>crédito Imobiliário</w:t>
      </w:r>
      <w:r>
        <w:rPr>
          <w:rFonts w:ascii="Arial" w:hAnsi="Arial" w:cs="Arial"/>
          <w:b/>
          <w:bCs/>
          <w:sz w:val="20"/>
          <w:szCs w:val="20"/>
        </w:rPr>
        <w:t xml:space="preserve"> e </w:t>
      </w:r>
      <w:r w:rsidRPr="003B6CE4">
        <w:rPr>
          <w:rFonts w:ascii="Arial" w:hAnsi="Arial" w:cs="Arial"/>
          <w:bCs/>
          <w:sz w:val="20"/>
          <w:szCs w:val="20"/>
        </w:rPr>
        <w:t>acessa o menu de</w:t>
      </w:r>
      <w:r>
        <w:rPr>
          <w:rFonts w:ascii="Arial" w:hAnsi="Arial" w:cs="Arial"/>
          <w:b/>
          <w:bCs/>
          <w:sz w:val="20"/>
          <w:szCs w:val="20"/>
        </w:rPr>
        <w:t xml:space="preserve"> Pós-vendas, </w:t>
      </w:r>
      <w:r w:rsidRPr="003B6CE4">
        <w:rPr>
          <w:rFonts w:ascii="Arial" w:hAnsi="Arial" w:cs="Arial"/>
          <w:bCs/>
          <w:sz w:val="20"/>
          <w:szCs w:val="20"/>
        </w:rPr>
        <w:t>escolhe a opção</w:t>
      </w:r>
      <w:r>
        <w:rPr>
          <w:rFonts w:ascii="Arial" w:hAnsi="Arial" w:cs="Arial"/>
          <w:b/>
          <w:bCs/>
          <w:sz w:val="20"/>
          <w:szCs w:val="20"/>
        </w:rPr>
        <w:t xml:space="preserve"> Amortização ou quitação.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</w:p>
    <w:p w:rsidR="00200BDF" w:rsidRDefault="00200BDF" w:rsidP="00200BDF">
      <w:pPr>
        <w:pStyle w:val="PargrafodaLista"/>
        <w:numPr>
          <w:ilvl w:val="0"/>
          <w:numId w:val="4"/>
        </w:numPr>
        <w:tabs>
          <w:tab w:val="left" w:pos="142"/>
        </w:tabs>
        <w:ind w:left="426"/>
        <w:rPr>
          <w:rFonts w:ascii="Arial" w:hAnsi="Arial" w:cs="Arial"/>
          <w:b/>
          <w:bCs/>
          <w:sz w:val="20"/>
          <w:szCs w:val="20"/>
        </w:rPr>
      </w:pPr>
      <w:r w:rsidRPr="007032F5">
        <w:rPr>
          <w:rFonts w:ascii="Arial" w:hAnsi="Arial" w:cs="Arial"/>
          <w:b/>
          <w:bCs/>
          <w:sz w:val="20"/>
          <w:szCs w:val="20"/>
        </w:rPr>
        <w:t>Opção Amortização</w:t>
      </w:r>
    </w:p>
    <w:p w:rsidR="00200BDF" w:rsidRPr="009977B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Aparecerá os contratos ativos do cliente, o cliente deve selecionar o contrato que deseja realizar a amortização.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o contrato selecionado, é realizado uma verificação de existe uma ocorrência vigente. 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</w:p>
    <w:p w:rsidR="00200BDF" w:rsidRPr="009977BF" w:rsidRDefault="00200BDF" w:rsidP="00200BDF">
      <w:pPr>
        <w:pStyle w:val="PargrafodaLista"/>
        <w:numPr>
          <w:ilvl w:val="0"/>
          <w:numId w:val="5"/>
        </w:numPr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 w:rsidRPr="009977BF">
        <w:rPr>
          <w:rFonts w:ascii="Arial" w:hAnsi="Arial" w:cs="Arial"/>
          <w:b/>
          <w:bCs/>
          <w:sz w:val="20"/>
          <w:szCs w:val="20"/>
        </w:rPr>
        <w:t>Não possuindo Ocorrência Aberta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É realizado uma análise do contrato do cliente para verificação de enquadramento nas regras de amortização; c</w:t>
      </w:r>
      <w:r w:rsidRPr="00E20197">
        <w:rPr>
          <w:rFonts w:ascii="Arial" w:hAnsi="Arial" w:cs="Arial"/>
          <w:bCs/>
          <w:sz w:val="20"/>
          <w:szCs w:val="20"/>
        </w:rPr>
        <w:t xml:space="preserve">aso o cliente </w:t>
      </w:r>
      <w:r w:rsidRPr="00E20197">
        <w:rPr>
          <w:rFonts w:ascii="Arial" w:hAnsi="Arial" w:cs="Arial"/>
          <w:b/>
          <w:bCs/>
          <w:sz w:val="20"/>
          <w:szCs w:val="20"/>
        </w:rPr>
        <w:t xml:space="preserve">não </w:t>
      </w:r>
      <w:r w:rsidRPr="00E20197">
        <w:rPr>
          <w:rFonts w:ascii="Arial" w:hAnsi="Arial" w:cs="Arial"/>
          <w:bCs/>
          <w:sz w:val="20"/>
          <w:szCs w:val="20"/>
        </w:rPr>
        <w:t xml:space="preserve">se </w:t>
      </w:r>
      <w:r w:rsidRPr="00E20197">
        <w:rPr>
          <w:rFonts w:ascii="Arial" w:hAnsi="Arial" w:cs="Arial"/>
          <w:b/>
          <w:bCs/>
          <w:sz w:val="20"/>
          <w:szCs w:val="20"/>
        </w:rPr>
        <w:t>enquadre nas regras</w:t>
      </w:r>
      <w:r w:rsidRPr="00E20197">
        <w:rPr>
          <w:rFonts w:ascii="Arial" w:hAnsi="Arial" w:cs="Arial"/>
          <w:bCs/>
          <w:sz w:val="20"/>
          <w:szCs w:val="20"/>
        </w:rPr>
        <w:t>, é apresentado uma tela negando a abertura da ocorrência.</w:t>
      </w:r>
      <w:r>
        <w:rPr>
          <w:rFonts w:ascii="Arial" w:hAnsi="Arial" w:cs="Arial"/>
          <w:bCs/>
          <w:sz w:val="20"/>
          <w:szCs w:val="20"/>
        </w:rPr>
        <w:t xml:space="preserve"> Se o cliente, sim (cliente se enquadra nas regras de amortização) pode preencher os valores que deseja amortizar.  O Valor preenchido e avaliado com as regras de amortização para utilização do valor mínimo que deve ser utilizado, caso o valor preenchido seja abaixo do mínimo é apresentado uma tela informando que o valor está abaixo do aceitável e o cliente deve utilizar um valor maior.</w:t>
      </w:r>
    </w:p>
    <w:p w:rsidR="00200BDF" w:rsidRPr="00683A76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valor válido preenchido é apresentado (2) duas simulações, </w:t>
      </w:r>
      <w:r w:rsidRPr="00683A76">
        <w:rPr>
          <w:rFonts w:ascii="Arial" w:hAnsi="Arial" w:cs="Arial"/>
          <w:b/>
          <w:bCs/>
          <w:sz w:val="20"/>
          <w:szCs w:val="20"/>
        </w:rPr>
        <w:t>1 (um) resultado com redução de prazo e 1 (um) resultado com a redução de saldo.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cliente deve selecionar qual redução ele deseja seguir, </w:t>
      </w:r>
      <w:r w:rsidRPr="001C518C">
        <w:rPr>
          <w:rFonts w:ascii="Arial" w:hAnsi="Arial" w:cs="Arial"/>
          <w:b/>
          <w:bCs/>
          <w:sz w:val="20"/>
          <w:szCs w:val="20"/>
        </w:rPr>
        <w:t>Redução de Prazo ou Redução de Saldo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1C518C">
        <w:rPr>
          <w:rFonts w:ascii="Arial" w:hAnsi="Arial" w:cs="Arial"/>
          <w:bCs/>
          <w:sz w:val="20"/>
          <w:szCs w:val="20"/>
        </w:rPr>
        <w:t xml:space="preserve">E ao selecionar uma das opções será apresentado um </w:t>
      </w:r>
      <w:r w:rsidRPr="001C518C">
        <w:rPr>
          <w:rFonts w:ascii="Arial" w:hAnsi="Arial" w:cs="Arial"/>
          <w:b/>
          <w:bCs/>
          <w:sz w:val="20"/>
          <w:szCs w:val="20"/>
        </w:rPr>
        <w:t>botão para confirmação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1C518C">
        <w:rPr>
          <w:rFonts w:ascii="Arial" w:hAnsi="Arial" w:cs="Arial"/>
          <w:bCs/>
          <w:sz w:val="20"/>
          <w:szCs w:val="20"/>
        </w:rPr>
        <w:t>onde o cliente assume que está de acordo</w:t>
      </w:r>
      <w:r>
        <w:rPr>
          <w:rFonts w:ascii="Arial" w:hAnsi="Arial" w:cs="Arial"/>
          <w:bCs/>
          <w:sz w:val="20"/>
          <w:szCs w:val="20"/>
        </w:rPr>
        <w:t xml:space="preserve">, e o cliente autentica com o TOKEN e nesse momento será aberto uma </w:t>
      </w:r>
      <w:r w:rsidRPr="001C518C">
        <w:rPr>
          <w:rFonts w:ascii="Arial" w:hAnsi="Arial" w:cs="Arial"/>
          <w:b/>
          <w:bCs/>
          <w:sz w:val="20"/>
          <w:szCs w:val="20"/>
        </w:rPr>
        <w:t>ocorrência</w:t>
      </w:r>
      <w:r w:rsidRPr="001C518C">
        <w:rPr>
          <w:rFonts w:ascii="Arial" w:hAnsi="Arial" w:cs="Arial"/>
          <w:bCs/>
          <w:sz w:val="20"/>
          <w:szCs w:val="20"/>
        </w:rPr>
        <w:t xml:space="preserve"> em</w:t>
      </w:r>
      <w:r>
        <w:rPr>
          <w:rFonts w:ascii="Arial" w:hAnsi="Arial" w:cs="Arial"/>
          <w:bCs/>
          <w:sz w:val="20"/>
          <w:szCs w:val="20"/>
        </w:rPr>
        <w:t xml:space="preserve"> andamento (CRIM ou SISCRED), e </w:t>
      </w:r>
      <w:r w:rsidRPr="001C518C">
        <w:rPr>
          <w:rFonts w:ascii="Arial" w:hAnsi="Arial" w:cs="Arial"/>
          <w:b/>
          <w:bCs/>
          <w:sz w:val="20"/>
          <w:szCs w:val="20"/>
        </w:rPr>
        <w:t>gera uma Chave PIX</w:t>
      </w:r>
      <w:r>
        <w:rPr>
          <w:rFonts w:ascii="Arial" w:hAnsi="Arial" w:cs="Arial"/>
          <w:bCs/>
          <w:sz w:val="20"/>
          <w:szCs w:val="20"/>
        </w:rPr>
        <w:t xml:space="preserve"> para pagamento.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Obs. O cliente poderá realizar simulações testando diferente valores e quantas vezes desejar, mas só é possível a geração de um evento por dia para geração de Chave Pix, caso o cliente deseje alterar o valor depois da confirmação e autenticação do seu TOKEN, deverá esperar o dia seguinte (24 horas) para gerar uma chave </w:t>
      </w:r>
      <w:proofErr w:type="spellStart"/>
      <w:r>
        <w:rPr>
          <w:rFonts w:ascii="Arial" w:hAnsi="Arial" w:cs="Arial"/>
          <w:bCs/>
          <w:sz w:val="20"/>
          <w:szCs w:val="20"/>
        </w:rPr>
        <w:t>pix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com outro valor.  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pagamento efetivado em tempo hábil, (chave </w:t>
      </w:r>
      <w:proofErr w:type="spellStart"/>
      <w:r>
        <w:rPr>
          <w:rFonts w:ascii="Arial" w:hAnsi="Arial" w:cs="Arial"/>
          <w:bCs/>
          <w:sz w:val="20"/>
          <w:szCs w:val="20"/>
        </w:rPr>
        <w:t>pix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é válida por 24 horas). É realizado uma pendência na ocorrência no sistema, para que seja realizada a integração, e o cliente recebe uma mensagem de conclusão e informa que no dia seguinte um novo saldo devedor estará disponível.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Caso o pagamento não tenha sido realizado em tempo hábil (depois de 24 horas), deverá ser cancelado a ocorrência dentro do (CRIM ou SISCRED) e apresenta uma tela para o cliente de não conclusão e informa que precisa realizar uma nova simulação.</w:t>
      </w:r>
    </w:p>
    <w:p w:rsidR="00200BDF" w:rsidRPr="003B18DC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Pr="009977BF" w:rsidRDefault="00200BDF" w:rsidP="00200BDF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  <w:r w:rsidRPr="009977BF">
        <w:rPr>
          <w:rFonts w:ascii="Arial" w:hAnsi="Arial" w:cs="Arial"/>
          <w:b/>
          <w:bCs/>
          <w:sz w:val="20"/>
          <w:szCs w:val="20"/>
        </w:rPr>
        <w:t xml:space="preserve">Sim possuindo ocorrência em aberto </w:t>
      </w: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</w:t>
      </w:r>
      <w:r w:rsidRPr="009977BF">
        <w:rPr>
          <w:rFonts w:ascii="Arial" w:hAnsi="Arial" w:cs="Arial"/>
          <w:bCs/>
          <w:sz w:val="20"/>
          <w:szCs w:val="20"/>
        </w:rPr>
        <w:t xml:space="preserve"> cliente é direcionado para tela final de amortização e </w:t>
      </w:r>
      <w:r>
        <w:rPr>
          <w:rFonts w:ascii="Arial" w:hAnsi="Arial" w:cs="Arial"/>
          <w:bCs/>
          <w:sz w:val="20"/>
          <w:szCs w:val="20"/>
        </w:rPr>
        <w:t>é apresentada a chave PIX válida para realização do pagamento.</w:t>
      </w: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Pr="003B18DC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numPr>
          <w:ilvl w:val="0"/>
          <w:numId w:val="4"/>
        </w:numPr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Opção Quitação</w:t>
      </w:r>
    </w:p>
    <w:p w:rsidR="00200BDF" w:rsidRPr="00B70242" w:rsidRDefault="00200BDF" w:rsidP="00200BDF">
      <w:pPr>
        <w:tabs>
          <w:tab w:val="left" w:pos="142"/>
        </w:tabs>
        <w:ind w:left="426"/>
        <w:rPr>
          <w:rFonts w:ascii="Arial" w:hAnsi="Arial" w:cs="Arial"/>
          <w:b/>
          <w:bCs/>
          <w:sz w:val="20"/>
          <w:szCs w:val="20"/>
        </w:rPr>
      </w:pPr>
      <w:r w:rsidRPr="00B70242">
        <w:rPr>
          <w:rFonts w:ascii="Arial" w:hAnsi="Arial" w:cs="Arial"/>
          <w:bCs/>
          <w:sz w:val="20"/>
          <w:szCs w:val="20"/>
        </w:rPr>
        <w:t xml:space="preserve">Aparecerá os </w:t>
      </w:r>
      <w:r w:rsidRPr="00B70242">
        <w:rPr>
          <w:rFonts w:ascii="Arial" w:hAnsi="Arial" w:cs="Arial"/>
          <w:b/>
          <w:bCs/>
          <w:sz w:val="20"/>
          <w:szCs w:val="20"/>
        </w:rPr>
        <w:t>contratos ativos do cliente</w:t>
      </w:r>
      <w:r w:rsidRPr="00B70242">
        <w:rPr>
          <w:rFonts w:ascii="Arial" w:hAnsi="Arial" w:cs="Arial"/>
          <w:bCs/>
          <w:sz w:val="20"/>
          <w:szCs w:val="20"/>
        </w:rPr>
        <w:t>, o cliente deve selecionar o contrato que deseja realizar a quitação.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 w:rsidRPr="00B70242">
        <w:rPr>
          <w:rFonts w:ascii="Arial" w:hAnsi="Arial" w:cs="Arial"/>
          <w:bCs/>
          <w:sz w:val="20"/>
          <w:szCs w:val="20"/>
        </w:rPr>
        <w:t>É realizado uma análise do contrato do cliente para verificação de enquadramento nas regras de amortização; caso o cliente não se enquadre nas regras, é apresentado uma tela negando a abertura da ocorrência. Se o cliente, sim (cliente se enq</w:t>
      </w:r>
      <w:r>
        <w:rPr>
          <w:rFonts w:ascii="Arial" w:hAnsi="Arial" w:cs="Arial"/>
          <w:bCs/>
          <w:sz w:val="20"/>
          <w:szCs w:val="20"/>
        </w:rPr>
        <w:t xml:space="preserve">uadra nas regras para quitação) será mostrado o </w:t>
      </w:r>
      <w:r w:rsidRPr="00AF5616">
        <w:rPr>
          <w:rFonts w:ascii="Arial" w:hAnsi="Arial" w:cs="Arial"/>
          <w:b/>
          <w:bCs/>
          <w:sz w:val="20"/>
          <w:szCs w:val="20"/>
        </w:rPr>
        <w:t>valor quitação</w:t>
      </w:r>
      <w:r>
        <w:rPr>
          <w:rFonts w:ascii="Arial" w:hAnsi="Arial" w:cs="Arial"/>
          <w:b/>
          <w:bCs/>
          <w:sz w:val="20"/>
          <w:szCs w:val="20"/>
        </w:rPr>
        <w:t xml:space="preserve"> do dia</w:t>
      </w:r>
      <w:r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br/>
        <w:t xml:space="preserve"> S</w:t>
      </w:r>
      <w:r w:rsidRPr="00AF5616">
        <w:rPr>
          <w:rFonts w:ascii="Arial" w:hAnsi="Arial" w:cs="Arial"/>
          <w:bCs/>
          <w:sz w:val="20"/>
          <w:szCs w:val="20"/>
        </w:rPr>
        <w:t>erá apresentado um botão para confirmação, onde o cliente assume que está de acordo, e o cliente autentica com o TOKEN e nesse momento será aberto uma ocorrência em andamento (CRIM ou SISCRED), e gera uma Chave PIX para pagamento.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</w:p>
    <w:p w:rsidR="007F47B4" w:rsidRDefault="007F47B4"/>
    <w:sectPr w:rsidR="007F47B4" w:rsidSect="00200BDF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21A8"/>
    <w:multiLevelType w:val="hybridMultilevel"/>
    <w:tmpl w:val="A6B01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34E54"/>
    <w:multiLevelType w:val="hybridMultilevel"/>
    <w:tmpl w:val="64D82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64C6E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D7383"/>
    <w:multiLevelType w:val="hybridMultilevel"/>
    <w:tmpl w:val="4D9272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42E96"/>
    <w:multiLevelType w:val="hybridMultilevel"/>
    <w:tmpl w:val="16D0A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523FF"/>
    <w:multiLevelType w:val="hybridMultilevel"/>
    <w:tmpl w:val="021088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31CBC"/>
    <w:multiLevelType w:val="hybridMultilevel"/>
    <w:tmpl w:val="9BD023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BDF"/>
    <w:rsid w:val="00184997"/>
    <w:rsid w:val="00200BDF"/>
    <w:rsid w:val="007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0D85E-68E3-4FB3-9690-640254FA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BD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1097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2024-08-30T20:50:00Z</dcterms:created>
  <dcterms:modified xsi:type="dcterms:W3CDTF">2025-02-19T17:01:00Z</dcterms:modified>
</cp:coreProperties>
</file>