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1484" w:rsidRPr="00241484" w:rsidRDefault="00241484" w:rsidP="00241484">
      <w:pPr>
        <w:rPr>
          <w:b/>
          <w:bCs/>
        </w:rPr>
      </w:pPr>
      <w:r w:rsidRPr="00241484">
        <w:rPr>
          <w:rFonts w:ascii="Segoe UI Symbol" w:hAnsi="Segoe UI Symbol" w:cs="Segoe UI Symbol"/>
          <w:b/>
          <w:bCs/>
        </w:rPr>
        <w:t>📝</w:t>
      </w:r>
      <w:r w:rsidRPr="00241484">
        <w:rPr>
          <w:b/>
          <w:bCs/>
        </w:rPr>
        <w:t> Resumo da Conferência sobre SRV Amortização (</w:t>
      </w:r>
      <w:proofErr w:type="spellStart"/>
      <w:r w:rsidRPr="00241484">
        <w:rPr>
          <w:b/>
          <w:bCs/>
        </w:rPr>
        <w:t>Siscred</w:t>
      </w:r>
      <w:proofErr w:type="spellEnd"/>
      <w:r w:rsidRPr="00241484">
        <w:rPr>
          <w:b/>
          <w:bCs/>
        </w:rPr>
        <w:t xml:space="preserve"> e CRIM)</w:t>
      </w:r>
    </w:p>
    <w:p w:rsidR="00241484" w:rsidRPr="00241484" w:rsidRDefault="00241484" w:rsidP="00241484">
      <w:pPr>
        <w:rPr>
          <w:b/>
          <w:bCs/>
        </w:rPr>
      </w:pPr>
      <w:r w:rsidRPr="00241484">
        <w:rPr>
          <w:b/>
          <w:bCs/>
        </w:rPr>
        <w:t>1. Contexto Geral</w:t>
      </w:r>
    </w:p>
    <w:p w:rsidR="00241484" w:rsidRPr="00241484" w:rsidRDefault="00241484" w:rsidP="00241484">
      <w:r w:rsidRPr="00241484">
        <w:t>A discussão gira em torno da lógica de amortização utilizada no sistema </w:t>
      </w:r>
      <w:proofErr w:type="spellStart"/>
      <w:r w:rsidRPr="00241484">
        <w:rPr>
          <w:b/>
          <w:bCs/>
        </w:rPr>
        <w:t>Siscred</w:t>
      </w:r>
      <w:proofErr w:type="spellEnd"/>
      <w:r w:rsidRPr="00241484">
        <w:t xml:space="preserve">, que atualmente amortiza o valor </w:t>
      </w:r>
      <w:r w:rsidR="00275798" w:rsidRPr="00241484">
        <w:t xml:space="preserve">informado </w:t>
      </w:r>
      <w:r w:rsidR="00275798">
        <w:t>total</w:t>
      </w:r>
      <w:r>
        <w:t xml:space="preserve"> </w:t>
      </w:r>
      <w:r w:rsidRPr="00241484">
        <w:t>no máximo de parcelas possíveis, e o saldo restante é tratado como prazo. A ideia é reutilizar essa lógica para contratos do </w:t>
      </w:r>
      <w:r w:rsidRPr="00241484">
        <w:rPr>
          <w:b/>
          <w:bCs/>
        </w:rPr>
        <w:t>CRIM</w:t>
      </w:r>
      <w:r w:rsidRPr="00241484">
        <w:t>, com adaptações específicas.</w:t>
      </w:r>
    </w:p>
    <w:p w:rsidR="00241484" w:rsidRPr="00241484" w:rsidRDefault="00241484" w:rsidP="00241484">
      <w:pPr>
        <w:rPr>
          <w:b/>
          <w:bCs/>
        </w:rPr>
      </w:pPr>
      <w:r w:rsidRPr="00241484">
        <w:rPr>
          <w:b/>
          <w:bCs/>
        </w:rPr>
        <w:t xml:space="preserve">2. Diferenças entre </w:t>
      </w:r>
      <w:proofErr w:type="spellStart"/>
      <w:r w:rsidRPr="00241484">
        <w:rPr>
          <w:b/>
          <w:bCs/>
        </w:rPr>
        <w:t>Siscred</w:t>
      </w:r>
      <w:proofErr w:type="spellEnd"/>
      <w:r w:rsidRPr="00241484">
        <w:rPr>
          <w:b/>
          <w:bCs/>
        </w:rPr>
        <w:t xml:space="preserve"> e CRIM</w:t>
      </w:r>
    </w:p>
    <w:p w:rsidR="00241484" w:rsidRPr="00241484" w:rsidRDefault="00241484" w:rsidP="00241484">
      <w:pPr>
        <w:numPr>
          <w:ilvl w:val="0"/>
          <w:numId w:val="1"/>
        </w:numPr>
      </w:pPr>
      <w:proofErr w:type="spellStart"/>
      <w:r w:rsidRPr="00241484">
        <w:rPr>
          <w:b/>
          <w:bCs/>
        </w:rPr>
        <w:t>Siscred</w:t>
      </w:r>
      <w:proofErr w:type="spellEnd"/>
      <w:r w:rsidRPr="00241484">
        <w:t>: Já possui lógica consolidada e funcional.</w:t>
      </w:r>
    </w:p>
    <w:p w:rsidR="00241484" w:rsidRPr="00241484" w:rsidRDefault="00241484" w:rsidP="00241484">
      <w:pPr>
        <w:numPr>
          <w:ilvl w:val="0"/>
          <w:numId w:val="1"/>
        </w:numPr>
      </w:pPr>
      <w:r w:rsidRPr="00241484">
        <w:rPr>
          <w:b/>
          <w:bCs/>
        </w:rPr>
        <w:t>CRIM</w:t>
      </w:r>
      <w:r w:rsidRPr="00241484">
        <w:t>: Possui diferenças em:</w:t>
      </w:r>
    </w:p>
    <w:p w:rsidR="00241484" w:rsidRPr="00241484" w:rsidRDefault="00241484" w:rsidP="00241484">
      <w:pPr>
        <w:numPr>
          <w:ilvl w:val="1"/>
          <w:numId w:val="1"/>
        </w:numPr>
        <w:spacing w:after="0"/>
      </w:pPr>
      <w:proofErr w:type="gramStart"/>
      <w:r w:rsidRPr="00241484">
        <w:t>Pro rata</w:t>
      </w:r>
      <w:proofErr w:type="gramEnd"/>
      <w:r w:rsidRPr="00241484">
        <w:t xml:space="preserve"> (juros)</w:t>
      </w:r>
    </w:p>
    <w:p w:rsidR="00241484" w:rsidRPr="00241484" w:rsidRDefault="00241484" w:rsidP="00241484">
      <w:pPr>
        <w:numPr>
          <w:ilvl w:val="1"/>
          <w:numId w:val="1"/>
        </w:numPr>
        <w:spacing w:after="0"/>
      </w:pPr>
      <w:r w:rsidRPr="00241484">
        <w:t>Alíquota de seguros</w:t>
      </w:r>
    </w:p>
    <w:p w:rsidR="00241484" w:rsidRPr="00241484" w:rsidRDefault="00241484" w:rsidP="00241484">
      <w:pPr>
        <w:numPr>
          <w:ilvl w:val="1"/>
          <w:numId w:val="1"/>
        </w:numPr>
        <w:spacing w:after="0"/>
      </w:pPr>
      <w:r w:rsidRPr="00241484">
        <w:t>Cálculo de saldo devedor</w:t>
      </w:r>
    </w:p>
    <w:p w:rsidR="00241484" w:rsidRPr="00241484" w:rsidRDefault="00241484" w:rsidP="00241484">
      <w:pPr>
        <w:numPr>
          <w:ilvl w:val="1"/>
          <w:numId w:val="1"/>
        </w:numPr>
        <w:spacing w:after="0"/>
      </w:pPr>
      <w:r w:rsidRPr="00241484">
        <w:t>Datas e regras específicas</w:t>
      </w:r>
    </w:p>
    <w:p w:rsidR="00241484" w:rsidRPr="00241484" w:rsidRDefault="00241484" w:rsidP="00241484">
      <w:r w:rsidRPr="00241484">
        <w:t>Apesar das diferenças, há consenso de que </w:t>
      </w:r>
      <w:r w:rsidRPr="00241484">
        <w:rPr>
          <w:b/>
          <w:bCs/>
        </w:rPr>
        <w:t>parte da lógica pode ser reaproveitada</w:t>
      </w:r>
      <w:r w:rsidRPr="00241484">
        <w:t>, evitando duplicidade de sistemas e retrabalho.</w:t>
      </w:r>
    </w:p>
    <w:p w:rsidR="00241484" w:rsidRPr="00241484" w:rsidRDefault="00241484" w:rsidP="00241484">
      <w:pPr>
        <w:rPr>
          <w:b/>
          <w:bCs/>
        </w:rPr>
      </w:pPr>
      <w:r w:rsidRPr="00241484">
        <w:rPr>
          <w:b/>
          <w:bCs/>
        </w:rPr>
        <w:t>3. Proposta Técnica</w:t>
      </w:r>
    </w:p>
    <w:p w:rsidR="00241484" w:rsidRPr="00241484" w:rsidRDefault="00241484" w:rsidP="00241484">
      <w:pPr>
        <w:numPr>
          <w:ilvl w:val="0"/>
          <w:numId w:val="2"/>
        </w:numPr>
        <w:spacing w:after="0"/>
      </w:pPr>
      <w:r w:rsidRPr="00241484">
        <w:t>Utilizar o microserviço existente </w:t>
      </w:r>
      <w:proofErr w:type="spellStart"/>
      <w:r w:rsidRPr="00275798">
        <w:rPr>
          <w:b/>
        </w:rPr>
        <w:t>crim-srv-imob-amortizacao</w:t>
      </w:r>
      <w:proofErr w:type="spellEnd"/>
      <w:r w:rsidRPr="00275798">
        <w:rPr>
          <w:b/>
        </w:rPr>
        <w:t>.</w:t>
      </w:r>
    </w:p>
    <w:p w:rsidR="00241484" w:rsidRPr="00241484" w:rsidRDefault="00241484" w:rsidP="00241484">
      <w:pPr>
        <w:numPr>
          <w:ilvl w:val="0"/>
          <w:numId w:val="2"/>
        </w:numPr>
        <w:spacing w:after="0"/>
      </w:pPr>
      <w:r w:rsidRPr="00241484">
        <w:t>Reaproveitar métodos Java e fórmulas já implementadas.</w:t>
      </w:r>
    </w:p>
    <w:p w:rsidR="00241484" w:rsidRPr="00241484" w:rsidRDefault="00241484" w:rsidP="00241484">
      <w:pPr>
        <w:numPr>
          <w:ilvl w:val="0"/>
          <w:numId w:val="2"/>
        </w:numPr>
        <w:spacing w:after="0"/>
      </w:pPr>
      <w:r w:rsidRPr="00241484">
        <w:t>Criar um parâmetro de origem (</w:t>
      </w:r>
      <w:proofErr w:type="spellStart"/>
      <w:r w:rsidRPr="00241484">
        <w:t>Siscred</w:t>
      </w:r>
      <w:proofErr w:type="spellEnd"/>
      <w:r w:rsidRPr="00241484">
        <w:t xml:space="preserve"> ou CRIM) para aplicar regras específicas conforme o contexto.</w:t>
      </w:r>
    </w:p>
    <w:p w:rsidR="00241484" w:rsidRPr="00241484" w:rsidRDefault="004C7C15" w:rsidP="00241484">
      <w:r>
        <w:pict>
          <v:rect id="_x0000_i1025" style="width:579pt;height:1.5pt" o:hrpct="0" o:hralign="center" o:hrstd="t" o:hrnoshade="t" o:hr="t" fillcolor="#424242" stroked="f"/>
        </w:pict>
      </w:r>
    </w:p>
    <w:p w:rsidR="00241484" w:rsidRPr="00241484" w:rsidRDefault="00241484" w:rsidP="00241484">
      <w:pPr>
        <w:rPr>
          <w:b/>
          <w:bCs/>
        </w:rPr>
      </w:pPr>
      <w:r w:rsidRPr="00241484">
        <w:rPr>
          <w:rFonts w:ascii="Segoe UI Symbol" w:hAnsi="Segoe UI Symbol" w:cs="Segoe UI Symbol"/>
          <w:b/>
          <w:bCs/>
        </w:rPr>
        <w:t>🔧</w:t>
      </w:r>
      <w:r w:rsidRPr="00241484">
        <w:rPr>
          <w:b/>
          <w:bCs/>
        </w:rPr>
        <w:t> Destaque: O Papel do SRV-Orquestrador</w:t>
      </w:r>
    </w:p>
    <w:p w:rsidR="00241484" w:rsidRPr="00241484" w:rsidRDefault="00241484" w:rsidP="00241484">
      <w:r w:rsidRPr="00241484">
        <w:t>O </w:t>
      </w:r>
      <w:proofErr w:type="spellStart"/>
      <w:r w:rsidR="00275798"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crim</w:t>
      </w:r>
      <w:proofErr w:type="spellEnd"/>
      <w:r w:rsidR="00275798"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="00275798"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srv</w:t>
      </w:r>
      <w:proofErr w:type="spellEnd"/>
      <w:r w:rsidR="00275798"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="00275798"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imob</w:t>
      </w:r>
      <w:proofErr w:type="spellEnd"/>
      <w:r w:rsidR="00275798"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-orquestrador</w:t>
      </w:r>
      <w:r w:rsidRPr="00241484">
        <w:t> é proposto como uma camada intermediária essencial para:</w:t>
      </w:r>
    </w:p>
    <w:p w:rsidR="00241484" w:rsidRPr="00241484" w:rsidRDefault="00241484" w:rsidP="00241484">
      <w:pPr>
        <w:numPr>
          <w:ilvl w:val="0"/>
          <w:numId w:val="3"/>
        </w:numPr>
        <w:spacing w:after="0"/>
      </w:pPr>
      <w:r w:rsidRPr="00241484">
        <w:rPr>
          <w:b/>
          <w:bCs/>
        </w:rPr>
        <w:t>Capturar dados de sessão</w:t>
      </w:r>
      <w:r w:rsidRPr="00241484">
        <w:t> (ou futuramente via Redis Cache).</w:t>
      </w:r>
    </w:p>
    <w:p w:rsidR="00241484" w:rsidRPr="00241484" w:rsidRDefault="00241484" w:rsidP="00241484">
      <w:pPr>
        <w:numPr>
          <w:ilvl w:val="0"/>
          <w:numId w:val="3"/>
        </w:numPr>
        <w:spacing w:after="0"/>
      </w:pPr>
      <w:r w:rsidRPr="00241484">
        <w:rPr>
          <w:b/>
          <w:bCs/>
        </w:rPr>
        <w:t>Realizar o “</w:t>
      </w:r>
      <w:proofErr w:type="spellStart"/>
      <w:r w:rsidRPr="00241484">
        <w:rPr>
          <w:b/>
          <w:bCs/>
        </w:rPr>
        <w:t>de-para</w:t>
      </w:r>
      <w:proofErr w:type="spellEnd"/>
      <w:r w:rsidRPr="00241484">
        <w:rPr>
          <w:b/>
          <w:bCs/>
        </w:rPr>
        <w:t>”</w:t>
      </w:r>
      <w:r w:rsidRPr="00241484">
        <w:t>: transformar os dados recebidos no formato necessário para o motor de cálculo (</w:t>
      </w:r>
      <w:proofErr w:type="spellStart"/>
      <w:r w:rsidRPr="00241484">
        <w:t>crim-srv-imob-amortizacao</w:t>
      </w:r>
      <w:proofErr w:type="spellEnd"/>
      <w:r w:rsidRPr="00241484">
        <w:t>).</w:t>
      </w:r>
    </w:p>
    <w:p w:rsidR="00241484" w:rsidRPr="00241484" w:rsidRDefault="00241484" w:rsidP="00241484">
      <w:pPr>
        <w:numPr>
          <w:ilvl w:val="0"/>
          <w:numId w:val="3"/>
        </w:numPr>
        <w:spacing w:after="0"/>
      </w:pPr>
      <w:r w:rsidRPr="00241484">
        <w:rPr>
          <w:b/>
          <w:bCs/>
        </w:rPr>
        <w:t>Evitar que o motor acesse diretamente a base de dados</w:t>
      </w:r>
      <w:r w:rsidRPr="00241484">
        <w:t>, mantendo-o desacoplado e reutilizável.</w:t>
      </w:r>
    </w:p>
    <w:p w:rsidR="00241484" w:rsidRDefault="00241484" w:rsidP="00241484">
      <w:pPr>
        <w:numPr>
          <w:ilvl w:val="0"/>
          <w:numId w:val="3"/>
        </w:numPr>
        <w:spacing w:after="0"/>
      </w:pPr>
      <w:r w:rsidRPr="00241484">
        <w:rPr>
          <w:b/>
          <w:bCs/>
        </w:rPr>
        <w:t>Centralizar a lógica de decisão</w:t>
      </w:r>
      <w:r w:rsidRPr="00241484">
        <w:t> sobre qual regra aplicar (</w:t>
      </w:r>
      <w:proofErr w:type="spellStart"/>
      <w:r w:rsidRPr="00241484">
        <w:t>Siscred</w:t>
      </w:r>
      <w:proofErr w:type="spellEnd"/>
      <w:r w:rsidRPr="00241484">
        <w:t xml:space="preserve"> ou CRIM), tornando o sis</w:t>
      </w:r>
      <w:r w:rsidR="00691CA4">
        <w:t>tema mais flexível</w:t>
      </w:r>
      <w:r w:rsidRPr="00241484">
        <w:t>.</w:t>
      </w:r>
    </w:p>
    <w:p w:rsidR="00241484" w:rsidRPr="00241484" w:rsidRDefault="00241484" w:rsidP="00241484">
      <w:pPr>
        <w:spacing w:after="0"/>
        <w:ind w:left="720"/>
      </w:pPr>
    </w:p>
    <w:p w:rsidR="00241484" w:rsidRPr="00241484" w:rsidRDefault="004C7C15" w:rsidP="00241484">
      <w:r>
        <w:pict>
          <v:rect id="_x0000_i1026" style="width:579pt;height:1.5pt" o:hrpct="0" o:hralign="center" o:hrstd="t" o:hrnoshade="t" o:hr="t" fillcolor="#424242" stroked="f"/>
        </w:pict>
      </w:r>
    </w:p>
    <w:p w:rsidR="00241484" w:rsidRPr="00241484" w:rsidRDefault="00241484" w:rsidP="00241484">
      <w:pPr>
        <w:rPr>
          <w:b/>
          <w:bCs/>
        </w:rPr>
      </w:pPr>
      <w:r w:rsidRPr="00241484">
        <w:rPr>
          <w:rFonts w:ascii="Segoe UI Symbol" w:hAnsi="Segoe UI Symbol" w:cs="Segoe UI Symbol"/>
          <w:b/>
          <w:bCs/>
        </w:rPr>
        <w:t>✅</w:t>
      </w:r>
      <w:r w:rsidRPr="00241484">
        <w:rPr>
          <w:b/>
          <w:bCs/>
        </w:rPr>
        <w:t> Conclusão</w:t>
      </w:r>
    </w:p>
    <w:p w:rsidR="00241484" w:rsidRDefault="00241484" w:rsidP="00241484">
      <w:r w:rsidRPr="00241484">
        <w:t>A reunião evidenciou a necessidade de </w:t>
      </w:r>
      <w:r w:rsidRPr="00241484">
        <w:rPr>
          <w:b/>
          <w:bCs/>
        </w:rPr>
        <w:t>unificar e padronizar a lógica de amortização</w:t>
      </w:r>
      <w:r w:rsidRPr="00241484">
        <w:t xml:space="preserve"> entre </w:t>
      </w:r>
      <w:proofErr w:type="spellStart"/>
      <w:r w:rsidRPr="00241484">
        <w:t>Siscred</w:t>
      </w:r>
      <w:proofErr w:type="spellEnd"/>
      <w:r w:rsidRPr="00241484">
        <w:t xml:space="preserve"> e CRIM, evitando a criação de sistemas paralelos e redundantes. O uso de um</w:t>
      </w:r>
      <w:r>
        <w:rPr>
          <w:b/>
          <w:bCs/>
        </w:rPr>
        <w:t xml:space="preserve"> 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crim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srv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imob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-orquestrador</w:t>
      </w:r>
      <w:r w:rsidRPr="00241484">
        <w:t xml:space="preserve"> é visto como uma solução estratégica para garantir flexibilidade, reaproveitamento de código e manutenção facilitada.</w:t>
      </w:r>
    </w:p>
    <w:p w:rsidR="00B92306" w:rsidRDefault="00B92306" w:rsidP="00241484"/>
    <w:p w:rsidR="00B92306" w:rsidRDefault="00B92306" w:rsidP="00241484"/>
    <w:p w:rsidR="000B1F31" w:rsidRDefault="000B1F31" w:rsidP="00241484"/>
    <w:p w:rsidR="000B1F31" w:rsidRPr="00241484" w:rsidRDefault="000B1F31" w:rsidP="00241484"/>
    <w:p w:rsidR="00241484" w:rsidRPr="00241484" w:rsidRDefault="004C7C15" w:rsidP="00241484">
      <w:r>
        <w:lastRenderedPageBreak/>
        <w:pict>
          <v:rect id="_x0000_i1027" style="width:579pt;height:1.5pt" o:hrpct="0" o:hralign="center" o:hrstd="t" o:hrnoshade="t" o:hr="t" fillcolor="#424242" stroked="f"/>
        </w:pict>
      </w:r>
    </w:p>
    <w:p w:rsidR="00241484" w:rsidRPr="00241484" w:rsidRDefault="00241484" w:rsidP="00241484">
      <w:pPr>
        <w:rPr>
          <w:b/>
          <w:bCs/>
        </w:rPr>
      </w:pPr>
      <w:r w:rsidRPr="00241484">
        <w:rPr>
          <w:rFonts w:ascii="Segoe UI Symbol" w:hAnsi="Segoe UI Symbol" w:cs="Segoe UI Symbol"/>
          <w:b/>
          <w:bCs/>
        </w:rPr>
        <w:t>📌</w:t>
      </w:r>
      <w:r w:rsidRPr="00241484">
        <w:rPr>
          <w:b/>
          <w:bCs/>
        </w:rPr>
        <w:t> Direcionamentos Futuros</w:t>
      </w:r>
    </w:p>
    <w:p w:rsidR="00241484" w:rsidRPr="00241484" w:rsidRDefault="00241484" w:rsidP="00241484">
      <w:pPr>
        <w:numPr>
          <w:ilvl w:val="0"/>
          <w:numId w:val="4"/>
        </w:numPr>
      </w:pPr>
      <w:r>
        <w:rPr>
          <w:b/>
          <w:bCs/>
        </w:rPr>
        <w:t xml:space="preserve">Implementar o 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crim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srv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imob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18"/>
          <w:szCs w:val="18"/>
        </w:rPr>
        <w:t>-orquestrador</w:t>
      </w:r>
      <w:r w:rsidRPr="00241484">
        <w:t>:</w:t>
      </w:r>
    </w:p>
    <w:p w:rsidR="00241484" w:rsidRPr="00241484" w:rsidRDefault="00241484" w:rsidP="00241484">
      <w:pPr>
        <w:numPr>
          <w:ilvl w:val="1"/>
          <w:numId w:val="4"/>
        </w:numPr>
      </w:pPr>
      <w:r>
        <w:t xml:space="preserve">Centralizar as regras </w:t>
      </w:r>
      <w:r w:rsidRPr="00241484">
        <w:t>de transformação e roteamento de dados.</w:t>
      </w:r>
    </w:p>
    <w:p w:rsidR="00241484" w:rsidRDefault="00241484" w:rsidP="00241484">
      <w:pPr>
        <w:numPr>
          <w:ilvl w:val="1"/>
          <w:numId w:val="4"/>
        </w:numPr>
      </w:pPr>
      <w:r w:rsidRPr="00241484">
        <w:t>Utilizar Redis Cache futuramente para ganho de performance.</w:t>
      </w:r>
    </w:p>
    <w:p w:rsidR="00691CA4" w:rsidRPr="00691CA4" w:rsidRDefault="00691CA4" w:rsidP="00691CA4">
      <w:pPr>
        <w:numPr>
          <w:ilvl w:val="1"/>
          <w:numId w:val="4"/>
        </w:numPr>
        <w:rPr>
          <w:color w:val="000000" w:themeColor="text1"/>
        </w:rPr>
      </w:pPr>
      <w:r>
        <w:rPr>
          <w:color w:val="000000" w:themeColor="text1"/>
        </w:rPr>
        <w:t xml:space="preserve">Analisar estórias anteriores do </w:t>
      </w:r>
      <w:proofErr w:type="spellStart"/>
      <w:r w:rsidRPr="00241484">
        <w:rPr>
          <w:b/>
          <w:bCs/>
        </w:rPr>
        <w:t>crim-srv-imob-amortizacao</w:t>
      </w:r>
      <w:proofErr w:type="spellEnd"/>
      <w:r>
        <w:rPr>
          <w:b/>
          <w:bCs/>
        </w:rPr>
        <w:t xml:space="preserve"> e </w:t>
      </w:r>
      <w:r w:rsidRPr="00691CA4">
        <w:rPr>
          <w:bCs/>
        </w:rPr>
        <w:t>identificar os que precisa ser ajustado.</w:t>
      </w:r>
    </w:p>
    <w:p w:rsidR="00241484" w:rsidRPr="00241484" w:rsidRDefault="00241484" w:rsidP="00241484">
      <w:pPr>
        <w:numPr>
          <w:ilvl w:val="0"/>
          <w:numId w:val="4"/>
        </w:numPr>
      </w:pPr>
      <w:r w:rsidRPr="00241484">
        <w:rPr>
          <w:b/>
          <w:bCs/>
        </w:rPr>
        <w:t>Adaptar o </w:t>
      </w:r>
      <w:proofErr w:type="spellStart"/>
      <w:r w:rsidRPr="00241484">
        <w:rPr>
          <w:b/>
          <w:bCs/>
        </w:rPr>
        <w:t>crim-srv-imob-amortizacao</w:t>
      </w:r>
      <w:proofErr w:type="spellEnd"/>
      <w:r w:rsidRPr="00241484">
        <w:t>:</w:t>
      </w:r>
    </w:p>
    <w:p w:rsidR="00241484" w:rsidRDefault="00241484" w:rsidP="00241484">
      <w:pPr>
        <w:numPr>
          <w:ilvl w:val="1"/>
          <w:numId w:val="4"/>
        </w:numPr>
      </w:pPr>
      <w:r w:rsidRPr="00241484">
        <w:t>Permitir que ele aceite dados formatados pelo orquestrador.</w:t>
      </w:r>
    </w:p>
    <w:p w:rsidR="00691CA4" w:rsidRDefault="000B1F31" w:rsidP="00691CA4">
      <w:pPr>
        <w:numPr>
          <w:ilvl w:val="2"/>
          <w:numId w:val="4"/>
        </w:numPr>
        <w:rPr>
          <w:color w:val="000000" w:themeColor="text1"/>
        </w:rPr>
      </w:pPr>
      <w:r w:rsidRPr="000B1F31">
        <w:rPr>
          <w:rFonts w:ascii="Helvetica" w:hAnsi="Helvetica" w:cs="Helvetica"/>
          <w:bCs/>
          <w:color w:val="000000" w:themeColor="text1"/>
          <w:sz w:val="18"/>
          <w:szCs w:val="18"/>
          <w:shd w:val="clear" w:color="auto" w:fill="FFFF33"/>
        </w:rPr>
        <w:t>Calculo índice</w:t>
      </w:r>
      <w:r w:rsidR="00F01CFD">
        <w:rPr>
          <w:rFonts w:ascii="Helvetica" w:hAnsi="Helvetica" w:cs="Helvetica"/>
          <w:bCs/>
          <w:color w:val="000000" w:themeColor="text1"/>
          <w:sz w:val="18"/>
          <w:szCs w:val="18"/>
          <w:shd w:val="clear" w:color="auto" w:fill="FFFF33"/>
        </w:rPr>
        <w:t xml:space="preserve"> de </w:t>
      </w:r>
      <w:proofErr w:type="spellStart"/>
      <w:r w:rsidR="00F01CFD">
        <w:rPr>
          <w:rFonts w:ascii="Helvetica" w:hAnsi="Helvetica" w:cs="Helvetica"/>
          <w:bCs/>
          <w:color w:val="000000" w:themeColor="text1"/>
          <w:sz w:val="18"/>
          <w:szCs w:val="18"/>
          <w:shd w:val="clear" w:color="auto" w:fill="FFFF33"/>
        </w:rPr>
        <w:t>tx</w:t>
      </w:r>
      <w:proofErr w:type="spellEnd"/>
      <w:r w:rsidR="00F01CFD">
        <w:rPr>
          <w:rFonts w:ascii="Helvetica" w:hAnsi="Helvetica" w:cs="Helvetica"/>
          <w:bCs/>
          <w:color w:val="000000" w:themeColor="text1"/>
          <w:sz w:val="18"/>
          <w:szCs w:val="18"/>
          <w:shd w:val="clear" w:color="auto" w:fill="FFFF33"/>
        </w:rPr>
        <w:t xml:space="preserve"> </w:t>
      </w:r>
      <w:proofErr w:type="gramStart"/>
      <w:r w:rsidR="00F01CFD">
        <w:rPr>
          <w:rFonts w:ascii="Helvetica" w:hAnsi="Helvetica" w:cs="Helvetica"/>
          <w:bCs/>
          <w:color w:val="000000" w:themeColor="text1"/>
          <w:sz w:val="18"/>
          <w:szCs w:val="18"/>
          <w:shd w:val="clear" w:color="auto" w:fill="FFFF33"/>
        </w:rPr>
        <w:t>de  juros</w:t>
      </w:r>
      <w:proofErr w:type="gramEnd"/>
      <w:r w:rsidR="00F01CFD">
        <w:rPr>
          <w:rFonts w:ascii="Helvetica" w:hAnsi="Helvetica" w:cs="Helvetica"/>
          <w:bCs/>
          <w:color w:val="000000" w:themeColor="text1"/>
          <w:sz w:val="18"/>
          <w:szCs w:val="18"/>
          <w:shd w:val="clear" w:color="auto" w:fill="FFFF33"/>
        </w:rPr>
        <w:t> </w:t>
      </w:r>
      <w:r w:rsidRPr="000B1F31">
        <w:rPr>
          <w:rFonts w:ascii="Helvetica" w:hAnsi="Helvetica" w:cs="Helvetica"/>
          <w:bCs/>
          <w:color w:val="000000" w:themeColor="text1"/>
          <w:sz w:val="18"/>
          <w:szCs w:val="18"/>
          <w:shd w:val="clear" w:color="auto" w:fill="FFFF33"/>
        </w:rPr>
        <w:t>efetiva (Deixar como parâmetro)</w:t>
      </w:r>
    </w:p>
    <w:p w:rsidR="00241484" w:rsidRPr="00241484" w:rsidRDefault="00241484" w:rsidP="00241484">
      <w:pPr>
        <w:numPr>
          <w:ilvl w:val="0"/>
          <w:numId w:val="4"/>
        </w:numPr>
        <w:rPr>
          <w:sz w:val="20"/>
          <w:szCs w:val="20"/>
        </w:rPr>
      </w:pPr>
      <w:r w:rsidRPr="00241484">
        <w:rPr>
          <w:b/>
          <w:bCs/>
          <w:sz w:val="20"/>
          <w:szCs w:val="20"/>
        </w:rPr>
        <w:t xml:space="preserve">Implementar um 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20"/>
          <w:szCs w:val="20"/>
        </w:rPr>
        <w:t>crim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20"/>
          <w:szCs w:val="20"/>
        </w:rPr>
        <w:t xml:space="preserve"> -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20"/>
          <w:szCs w:val="20"/>
        </w:rPr>
        <w:t>srv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20"/>
          <w:szCs w:val="20"/>
        </w:rPr>
        <w:t>-</w:t>
      </w:r>
      <w:proofErr w:type="spellStart"/>
      <w:r w:rsidRPr="00241484">
        <w:rPr>
          <w:rFonts w:ascii="Helvetica" w:hAnsi="Helvetica" w:cs="Helvetica"/>
          <w:b/>
          <w:bCs/>
          <w:color w:val="FF0000"/>
          <w:sz w:val="20"/>
          <w:szCs w:val="20"/>
        </w:rPr>
        <w:t>imob</w:t>
      </w:r>
      <w:proofErr w:type="spellEnd"/>
      <w:r w:rsidRPr="00241484">
        <w:rPr>
          <w:rFonts w:ascii="Helvetica" w:hAnsi="Helvetica" w:cs="Helvetica"/>
          <w:b/>
          <w:bCs/>
          <w:color w:val="FF0000"/>
          <w:sz w:val="20"/>
          <w:szCs w:val="20"/>
        </w:rPr>
        <w:t>-saldo-contrato</w:t>
      </w:r>
      <w:r w:rsidRPr="00241484">
        <w:rPr>
          <w:b/>
          <w:bCs/>
          <w:color w:val="FF0000"/>
          <w:sz w:val="20"/>
          <w:szCs w:val="20"/>
        </w:rPr>
        <w:t xml:space="preserve"> com </w:t>
      </w:r>
      <w:r w:rsidRPr="00241484">
        <w:rPr>
          <w:b/>
          <w:bCs/>
          <w:sz w:val="20"/>
          <w:szCs w:val="20"/>
        </w:rPr>
        <w:t>o endpoint de saldo devedor</w:t>
      </w:r>
      <w:r w:rsidRPr="00241484">
        <w:rPr>
          <w:sz w:val="20"/>
          <w:szCs w:val="20"/>
        </w:rPr>
        <w:t>:</w:t>
      </w:r>
    </w:p>
    <w:p w:rsidR="00241484" w:rsidRPr="00241484" w:rsidRDefault="00241484" w:rsidP="00241484">
      <w:pPr>
        <w:numPr>
          <w:ilvl w:val="1"/>
          <w:numId w:val="4"/>
        </w:numPr>
      </w:pPr>
      <w:r w:rsidRPr="00241484">
        <w:t>Considerar sua integração ao motor de amortização.</w:t>
      </w:r>
    </w:p>
    <w:p w:rsidR="00241484" w:rsidRDefault="00241484" w:rsidP="00241484">
      <w:pPr>
        <w:numPr>
          <w:ilvl w:val="1"/>
          <w:numId w:val="4"/>
        </w:numPr>
      </w:pPr>
      <w:r w:rsidRPr="00241484">
        <w:t>Evitar cálculos isolados que impactam outros serviços.</w:t>
      </w:r>
    </w:p>
    <w:p w:rsidR="008E175A" w:rsidRDefault="008E175A" w:rsidP="008E175A"/>
    <w:p w:rsidR="008E175A" w:rsidRDefault="008E175A" w:rsidP="008E175A">
      <w:bookmarkStart w:id="0" w:name="_GoBack"/>
      <w:bookmarkEnd w:id="0"/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hyperlink r:id="rId5" w:tgtFrame="_blank" w:tooltip="https://jira.bradesco.com.br:8443/browse/moai-8692" w:history="1">
        <w:r w:rsidRPr="008E175A">
          <w:rPr>
            <w:rStyle w:val="Hyperlink"/>
            <w:sz w:val="20"/>
            <w:szCs w:val="20"/>
          </w:rPr>
          <w:t>MOAI-8692</w:t>
        </w:r>
      </w:hyperlink>
      <w:r w:rsidRPr="008E175A">
        <w:rPr>
          <w:sz w:val="20"/>
          <w:szCs w:val="20"/>
        </w:rPr>
        <w:t xml:space="preserve"> calculo PRICE na modalidade SALDO</w:t>
      </w:r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E175A">
        <w:rPr>
          <w:sz w:val="20"/>
          <w:szCs w:val="20"/>
        </w:rPr>
        <w:t>MOAI-8686 calculo PRICE na modalidade PRAZO</w:t>
      </w:r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E175A">
        <w:rPr>
          <w:sz w:val="20"/>
          <w:szCs w:val="20"/>
        </w:rPr>
        <w:t>MOAI-8691 calculo SAC na modalidade SALDO</w:t>
      </w:r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E175A">
        <w:rPr>
          <w:sz w:val="20"/>
          <w:szCs w:val="20"/>
        </w:rPr>
        <w:t>MOAI-8684 calculo SAC na modalidade PRAZO</w:t>
      </w:r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E175A">
        <w:rPr>
          <w:sz w:val="20"/>
          <w:szCs w:val="20"/>
        </w:rPr>
        <w:t> </w:t>
      </w:r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E175A">
        <w:rPr>
          <w:sz w:val="20"/>
          <w:szCs w:val="20"/>
        </w:rPr>
        <w:t>MOAI-8764 Evolução de parcelas SAC saldo</w:t>
      </w:r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E175A">
        <w:rPr>
          <w:sz w:val="20"/>
          <w:szCs w:val="20"/>
        </w:rPr>
        <w:t>MOAI-8685 Evolução de parcelas SAC prazo</w:t>
      </w:r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E175A">
        <w:rPr>
          <w:sz w:val="20"/>
          <w:szCs w:val="20"/>
        </w:rPr>
        <w:t>MOAI-8695 Evolução de parcelas PRICE saldo</w:t>
      </w:r>
    </w:p>
    <w:p w:rsidR="008E175A" w:rsidRPr="008E175A" w:rsidRDefault="008E175A" w:rsidP="00B15AAB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E175A">
        <w:rPr>
          <w:sz w:val="20"/>
          <w:szCs w:val="20"/>
        </w:rPr>
        <w:t>MOAI-8765 Evolução de parcelas PRICE prazo</w:t>
      </w:r>
    </w:p>
    <w:p w:rsidR="008E175A" w:rsidRPr="008E175A" w:rsidRDefault="008E175A" w:rsidP="008E175A">
      <w:pPr>
        <w:pStyle w:val="NormalWeb"/>
        <w:rPr>
          <w:sz w:val="20"/>
          <w:szCs w:val="20"/>
        </w:rPr>
      </w:pPr>
      <w:r w:rsidRPr="008E175A">
        <w:rPr>
          <w:sz w:val="20"/>
          <w:szCs w:val="20"/>
        </w:rPr>
        <w:t xml:space="preserve">MOAI-8802 BFF Orquestrando chamadas de/para consulta de dados no </w:t>
      </w:r>
      <w:proofErr w:type="spellStart"/>
      <w:r w:rsidRPr="008E175A">
        <w:rPr>
          <w:sz w:val="20"/>
          <w:szCs w:val="20"/>
        </w:rPr>
        <w:t>srv</w:t>
      </w:r>
      <w:proofErr w:type="spellEnd"/>
      <w:r w:rsidRPr="008E175A">
        <w:rPr>
          <w:sz w:val="20"/>
          <w:szCs w:val="20"/>
        </w:rPr>
        <w:t xml:space="preserve"> contratos para criar </w:t>
      </w:r>
      <w:proofErr w:type="spellStart"/>
      <w:r w:rsidRPr="008E175A">
        <w:rPr>
          <w:sz w:val="20"/>
          <w:szCs w:val="20"/>
        </w:rPr>
        <w:t>payload</w:t>
      </w:r>
      <w:proofErr w:type="spellEnd"/>
      <w:r w:rsidRPr="008E175A">
        <w:rPr>
          <w:sz w:val="20"/>
          <w:szCs w:val="20"/>
        </w:rPr>
        <w:t xml:space="preserve"> da calculadora</w:t>
      </w:r>
    </w:p>
    <w:p w:rsidR="008E175A" w:rsidRPr="008E175A" w:rsidRDefault="008E175A" w:rsidP="008E175A">
      <w:pPr>
        <w:rPr>
          <w:sz w:val="20"/>
          <w:szCs w:val="20"/>
        </w:rPr>
      </w:pPr>
    </w:p>
    <w:p w:rsidR="007F47B4" w:rsidRPr="008E175A" w:rsidRDefault="007F47B4">
      <w:pPr>
        <w:rPr>
          <w:sz w:val="20"/>
          <w:szCs w:val="20"/>
        </w:rPr>
      </w:pPr>
    </w:p>
    <w:sectPr w:rsidR="007F47B4" w:rsidRPr="008E175A" w:rsidSect="00B92306">
      <w:pgSz w:w="11906" w:h="16838"/>
      <w:pgMar w:top="709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B57AC"/>
    <w:multiLevelType w:val="multilevel"/>
    <w:tmpl w:val="79FC4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BF8720F"/>
    <w:multiLevelType w:val="multilevel"/>
    <w:tmpl w:val="02F6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EB761F"/>
    <w:multiLevelType w:val="multilevel"/>
    <w:tmpl w:val="B0E26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92E36BF"/>
    <w:multiLevelType w:val="multilevel"/>
    <w:tmpl w:val="48788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484"/>
    <w:rsid w:val="000B1F31"/>
    <w:rsid w:val="00241484"/>
    <w:rsid w:val="00275798"/>
    <w:rsid w:val="004C7C15"/>
    <w:rsid w:val="00691CA4"/>
    <w:rsid w:val="007F47B4"/>
    <w:rsid w:val="008E175A"/>
    <w:rsid w:val="009F0CAB"/>
    <w:rsid w:val="00B15AAB"/>
    <w:rsid w:val="00B92306"/>
    <w:rsid w:val="00F0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1F232"/>
  <w15:chartTrackingRefBased/>
  <w15:docId w15:val="{75035D6E-C4E9-44BB-B86E-08639D561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E17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E17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01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260890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  <w:div w:id="18926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206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18" w:color="707070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jira.bradesco.com.br:8443/browse/MOAI-869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473</Words>
  <Characters>2555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Lisboa de lyra</dc:creator>
  <cp:keywords/>
  <dc:description/>
  <cp:lastModifiedBy>Alessandro Lisboa de lyra</cp:lastModifiedBy>
  <cp:revision>8</cp:revision>
  <dcterms:created xsi:type="dcterms:W3CDTF">2025-06-05T19:14:00Z</dcterms:created>
  <dcterms:modified xsi:type="dcterms:W3CDTF">2025-06-05T23:59:00Z</dcterms:modified>
</cp:coreProperties>
</file>