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jc w:val="both"/>
        <w:rPr>
          <w:b/>
          <w:b/>
          <w:bCs/>
          <w:sz w:val="32"/>
          <w:szCs w:val="32"/>
        </w:rPr>
      </w:pPr>
      <w:r>
        <w:rPr>
          <w:b/>
          <w:bCs/>
          <w:sz w:val="32"/>
          <w:szCs w:val="32"/>
        </w:rPr>
        <w:t>Versatile neuronal culture system of faithful templated tau assembly</w:t>
      </w:r>
    </w:p>
    <w:p>
      <w:pPr>
        <w:pStyle w:val="Normal"/>
        <w:spacing w:lineRule="auto" w:line="360"/>
        <w:jc w:val="both"/>
        <w:rPr/>
      </w:pPr>
      <w:r>
        <w:rPr/>
      </w:r>
    </w:p>
    <w:p>
      <w:pPr>
        <w:pStyle w:val="Normal"/>
        <w:spacing w:lineRule="auto" w:line="360"/>
        <w:rPr>
          <w:b/>
          <w:b/>
          <w:bCs/>
        </w:rPr>
      </w:pPr>
      <w:r>
        <w:rPr>
          <w:b/>
          <w:bCs/>
        </w:rPr>
      </w:r>
      <w:r>
        <w:br w:type="page"/>
      </w:r>
    </w:p>
    <w:p>
      <w:pPr>
        <w:pStyle w:val="Normal"/>
        <w:spacing w:lineRule="auto" w:line="360"/>
        <w:jc w:val="both"/>
        <w:rPr/>
      </w:pPr>
      <w:r>
        <w:rPr>
          <w:b/>
          <w:bCs/>
        </w:rPr>
        <w:t>Introduction</w:t>
      </w:r>
      <w:r>
        <w:rPr/>
        <w:t xml:space="preserve"> </w:t>
      </w:r>
    </w:p>
    <w:p>
      <w:pPr>
        <w:pStyle w:val="Normal"/>
        <w:spacing w:lineRule="auto" w:line="360"/>
        <w:ind w:firstLine="720"/>
        <w:jc w:val="both"/>
        <w:rPr/>
      </w:pPr>
      <w:r>
        <w:rPr/>
        <w:t xml:space="preserve">Neurodegenerative tauopathies, including Alzheimer’s disease (AD), Pick’s disease (PID), progressive supranuclear palsy (PSP) and corticobasal degeneration (CBD) are characterised by the abnormal assembly of microtubule-associated protein tau into amyloid filaments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(Peng, Trojanowski, and Lee 2020)</w:t>
      </w:r>
      <w:r>
        <w:rPr/>
      </w:r>
      <w:r>
        <w:rPr/>
        <w:fldChar w:fldCharType="end"/>
      </w:r>
      <w:r>
        <w:rPr/>
        <w:t xml:space="preserve">. Mutations in </w:t>
      </w:r>
      <w:r>
        <w:rPr>
          <w:i/>
          <w:iCs/>
        </w:rPr>
        <w:t>MAPT</w:t>
      </w:r>
      <w:r>
        <w:rPr/>
        <w:t xml:space="preserve">, the gene encoding tau protein, cause dominantly inherited forms of frontotemporal dementias with abundant tau inclusions, consistent with tau filament formation causing neurodegeneration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(Poorkaj et al. 1998; Hutton et al. 1998; Spillantini et al. 1998)</w:t>
      </w:r>
      <w:r>
        <w:rPr/>
      </w:r>
      <w:r>
        <w:rPr/>
        <w:fldChar w:fldCharType="end"/>
      </w:r>
      <w:r>
        <w:rPr/>
        <w:t>.</w:t>
      </w:r>
    </w:p>
    <w:p>
      <w:pPr>
        <w:pStyle w:val="Normal"/>
        <w:spacing w:lineRule="auto" w:line="360"/>
        <w:ind w:firstLine="720"/>
        <w:jc w:val="both"/>
        <w:rPr/>
      </w:pPr>
      <w:r>
        <w:rPr/>
        <w:t xml:space="preserve">Tau is an intrinsically disordered protein that is expressed as six different isoforms in the adult human brain </w:t>
      </w:r>
      <w:r>
        <w:fldChar w:fldCharType="begin"/>
      </w:r>
      <w:r>
        <w:rPr/>
        <w:instrText>ADDIN EN.CITE &lt;EndNote&gt;&lt;Cite&gt;&lt;Author&gt;Goedert&lt;/Author&gt;&lt;Year&gt;1989&lt;/Year&gt;&lt;RecNum&gt;9&lt;/RecNum&gt;&lt;DisplayText&gt;(Goedert et al. 1989)&lt;/DisplayText&gt;&lt;record&gt;&lt;rec-number&gt;9&lt;/rec-number&gt;&lt;foreign-keys&gt;&lt;key app="EN" db-id="fr2a5af9ftzv2weapfwvxwwnwf0rr90rtsxr" timestamp="1780227215"&gt;9&lt;/key&gt;&lt;/foreign-keys&gt;&lt;ref-type name="Journal Article"&gt;17&lt;/ref-type&gt;&lt;contributors&gt;&lt;authors&gt;&lt;author&gt;Goedert, M.&lt;/author&gt;&lt;author&gt;Spillantini, M. G.&lt;/author&gt;&lt;author&gt;Jakes, R.&lt;/author&gt;&lt;author&gt;Rutherford, D.&lt;/author&gt;&lt;author&gt;Crowther, R. A.&lt;/author&gt;&lt;/authors&gt;&lt;/contributors&gt;&lt;auth-address&gt;Medical Research Council, Laboratory of Molecular Biology, Cambridge, England.&lt;/auth-address&gt;&lt;titles&gt;&lt;title&gt;Multiple isoforms of human microtubule-associated protein tau: sequences and localization in neurofibrillary tangles of Alzheimer&amp;apos;s disease&lt;/title&gt;&lt;secondary-title&gt;Neuron&lt;/secondary-title&gt;&lt;/titles&gt;&lt;periodical&gt;&lt;full-title&gt;Neuron&lt;/full-title&gt;&lt;/periodical&gt;&lt;pages&gt;519-26&lt;/pages&gt;&lt;volume&gt;3&lt;/volume&gt;&lt;number&gt;4&lt;/number&gt;&lt;keywords&gt;&lt;keyword&gt;Alzheimer Disease/genetics/*metabolism&lt;/keyword&gt;&lt;keyword&gt;Amino Acid Sequence&lt;/keyword&gt;&lt;keyword&gt;Humans&lt;/keyword&gt;&lt;keyword&gt;Immunologic Techniques&lt;/keyword&gt;&lt;keyword&gt;Isomerism&lt;/keyword&gt;&lt;keyword&gt;Microtubule-Associated Proteins/*analysis/genetics&lt;/keyword&gt;&lt;keyword&gt;Molecular Sequence Data&lt;/keyword&gt;&lt;keyword&gt;Nerve Tissue Proteins/analysis/genetics&lt;/keyword&gt;&lt;keyword&gt;Neurofibrils/*analysis&lt;/keyword&gt;&lt;keyword&gt;RNA, Messenger/metabolism&lt;/keyword&gt;&lt;keyword&gt;Staining and Labeling&lt;/keyword&gt;&lt;keyword&gt;tau Proteins&lt;/keyword&gt;&lt;/keywords&gt;&lt;dates&gt;&lt;year&gt;1989&lt;/year&gt;&lt;pub-dates&gt;&lt;date&gt;Oct&lt;/date&gt;&lt;/pub-dates&gt;&lt;/dates&gt;&lt;isbn&gt;0896-6273 (Print)&amp;#xD;0896-6273 (Linking)&lt;/isbn&gt;&lt;accession-num&gt;2484340&lt;/accession-num&gt;&lt;urls&gt;&lt;related-urls&gt;&lt;url&gt;https://www.ncbi.nlm.nih.gov/pubmed/2484340&lt;/url&gt;&lt;/related-urls&gt;&lt;/urls&gt;&lt;electronic-resource-num&gt;10.1016/0896-6273(89)90210-9&lt;/electronic-resource-num&gt;&lt;remote-database-name&gt;Medline&lt;/remote-database-name&gt;&lt;remote-database-provider&gt;NLM&lt;/remote-database-provider&gt;&lt;/record&gt;&lt;/Cite&gt;&lt;/EndNote&gt;</w:instrText>
      </w:r>
      <w:r>
        <w:rPr/>
      </w:r>
      <w:r>
        <w:rPr/>
        <w:fldChar w:fldCharType="separate"/>
      </w:r>
      <w:r>
        <w:rPr/>
        <w:t>(Goedert et al. 1989)</w:t>
      </w:r>
      <w:r>
        <w:rPr/>
      </w:r>
      <w:r>
        <w:rPr/>
        <w:fldChar w:fldCharType="end"/>
      </w:r>
      <w:r>
        <w:rPr/>
        <w:t xml:space="preserve">. These isoforms are produced by alternative mRNA splicing and differ by the number of microtubule-binding repeats (3R or 4R) and the number of N-terminal inserts (0N, 1N, or 2N). Tau filaments are made of a structured core and an unstructured fuzzy coat, with each tauopathy being characterised by a specific fold </w:t>
      </w:r>
      <w:r>
        <w:fldChar w:fldCharType="begin"/>
      </w:r>
      <w:r>
        <w:rPr/>
        <w:instrText>ADDIN EN.CITE &lt;EndNote&gt;&lt;Cite&gt;&lt;Author&gt;Scheres&lt;/Author&gt;&lt;Year&gt;2023&lt;/Year&gt;&lt;RecNum&gt;8&lt;/RecNum&gt;&lt;DisplayText&gt;(Scheres, Ryskeldi-Falcon, and Goedert 2023)&lt;/DisplayText&gt;&lt;record&gt;&lt;rec-number&gt;8&lt;/rec-number&gt;&lt;foreign-keys&gt;&lt;key app="EN" db-id="fr2a5af9ftzv2weapfwvxwwnwf0rr90rtsxr" timestamp="1780226853"&gt;8&lt;/key&gt;&lt;/foreign-keys&gt;&lt;ref-type name="Journal Article"&gt;17&lt;/ref-type&gt;&lt;contributors&gt;&lt;authors&gt;&lt;author&gt;Scheres, S. H. W.&lt;/author&gt;&lt;author&gt;Ryskeldi-Falcon, B.&lt;/author&gt;&lt;author&gt;Goedert, M.&lt;/author&gt;&lt;/authors&gt;&lt;/contributors&gt;&lt;auth-address&gt;Medical Research Council Laboratory of Molecular Biology, Cambridge, UK. scheres@mrc-lmb.cam.ac.uk.&amp;#xD;Medical Research Council Laboratory of Molecular Biology, Cambridge, UK. bfalcon@mrc-lmb.cam.ac.uk.&amp;#xD;Medical Research Council Laboratory of Molecular Biology, Cambridge, UK. mg@mrc-lmb.cam.ac.ak.&lt;/auth-address&gt;&lt;titles&gt;&lt;title&gt;Molecular pathology of neurodegenerative diseases by cryo-EM of amyloids&lt;/title&gt;&lt;secondary-title&gt;Nature&lt;/secondary-title&gt;&lt;/titles&gt;&lt;periodical&gt;&lt;full-title&gt;Nature&lt;/full-title&gt;&lt;/periodical&gt;&lt;pages&gt;701-710&lt;/pages&gt;&lt;volume&gt;621&lt;/volume&gt;&lt;number&gt;7980&lt;/number&gt;&lt;edition&gt;20230927&lt;/edition&gt;&lt;keywords&gt;&lt;keyword&gt;Humans&lt;/keyword&gt;&lt;keyword&gt;alpha-Synuclein&lt;/keyword&gt;&lt;keyword&gt;*Amyloid/chemistry/classification/ultrastructure&lt;/keyword&gt;&lt;keyword&gt;Amyloid beta-Peptides&lt;/keyword&gt;&lt;keyword&gt;*Cryoelectron Microscopy&lt;/keyword&gt;&lt;keyword&gt;*Neurodegenerative Diseases/metabolism/pathology&lt;/keyword&gt;&lt;keyword&gt;*Pathology, Molecular&lt;/keyword&gt;&lt;keyword&gt;*Protein Folding&lt;/keyword&gt;&lt;keyword&gt;tau Proteins&lt;/keyword&gt;&lt;keyword&gt;DNA-Binding Proteins&lt;/keyword&gt;&lt;/keywords&gt;&lt;dates&gt;&lt;year&gt;2023&lt;/year&gt;&lt;pub-dates&gt;&lt;date&gt;Sep&lt;/date&gt;&lt;/pub-dates&gt;&lt;/dates&gt;&lt;isbn&gt;1476-4687 (Electronic)&amp;#xD;0028-0836 (Linking)&lt;/isbn&gt;&lt;accession-num&gt;37758888&lt;/accession-num&gt;&lt;urls&gt;&lt;related-urls&gt;&lt;url&gt;https://www.ncbi.nlm.nih.gov/pubmed/37758888&lt;/url&gt;&lt;/related-urls&gt;&lt;/urls&gt;&lt;electronic-resource-num&gt;10.1038/s41586-023-06437-2&lt;/electronic-resource-num&gt;&lt;remote-database-name&gt;Medline&lt;/remote-database-name&gt;&lt;remote-database-provider&gt;NLM&lt;/remote-database-provider&gt;&lt;/record&gt;&lt;/Cite&gt;&lt;/EndNote&gt;</w:instrText>
      </w:r>
      <w:r>
        <w:rPr/>
      </w:r>
      <w:r>
        <w:rPr/>
        <w:fldChar w:fldCharType="separate"/>
      </w:r>
      <w:r>
        <w:rPr/>
        <w:t>(Scheres, Ryskeldi-Falcon, and Goedert 2023)</w:t>
      </w:r>
      <w:r>
        <w:rPr/>
      </w:r>
      <w:r>
        <w:rPr/>
        <w:fldChar w:fldCharType="end"/>
      </w:r>
      <w:r>
        <w:rPr/>
        <w:t xml:space="preserve">. </w:t>
      </w:r>
      <w:r>
        <w:rPr>
          <w:rFonts w:cs="Times New Roman (Body CS)"/>
        </w:rPr>
        <w:t xml:space="preserve">Cryo-EM has shown that the minimal tau filament core consists of R3, R4 and 10-12 amino acids after R4. Tauopathies fall into three groups, based on the isoforms present in the filaments. In AD, all six isoforms (0N3R, 1N3R, 2N3R, 0N4R, 1N4R, 2N4R) assemble into paired helical and straight tau filaments (PHFs and SFs) </w:t>
      </w:r>
      <w:r>
        <w:fldChar w:fldCharType="begin"/>
      </w:r>
      <w:r>
        <w:rPr>
          <w:rFonts w:cs="Times New Roman (Body CS)"/>
        </w:rPr>
        <w:instrText>ADDIN EN.CITE</w:instrText>
      </w:r>
      <w:r>
        <w:rPr>
          <w:rFonts w:cs="Times New Roman (Body CS)"/>
        </w:rPr>
      </w:r>
      <w:r>
        <w:fldChar w:fldCharType="begin"/>
      </w:r>
      <w:r>
        <w:rPr>
          <w:rFonts w:cs="Times New Roman (Body CS)"/>
        </w:rPr>
        <w:instrText>ADDIN EN.CITE.DATA</w:instrText>
      </w:r>
      <w:r>
        <w:rPr>
          <w:rFonts w:cs="Times New Roman (Body CS)"/>
        </w:rPr>
      </w:r>
      <w:r>
        <w:rPr>
          <w:rFonts w:cs="Times New Roman (Body CS)"/>
        </w:rPr>
        <w:fldChar w:fldCharType="separate"/>
      </w:r>
      <w:r>
        <w:rPr>
          <w:rFonts w:cs="Times New Roman (Body CS)"/>
        </w:rPr>
      </w:r>
      <w:r>
        <w:rPr>
          <w:rFonts w:cs="Times New Roman (Body CS)"/>
        </w:rPr>
      </w:r>
      <w:r>
        <w:rPr>
          <w:rFonts w:cs="Times New Roman (Body CS)"/>
        </w:rPr>
        <w:fldChar w:fldCharType="end"/>
      </w:r>
      <w:r>
        <w:rPr>
          <w:rFonts w:cs="Times New Roman (Body CS)"/>
        </w:rPr>
        <w:fldChar w:fldCharType="separate"/>
      </w:r>
      <w:r>
        <w:rPr>
          <w:rFonts w:cs="Times New Roman (Body CS)"/>
        </w:rPr>
        <w:t>(Fitzpatrick et al. 2017)</w:t>
      </w:r>
      <w:r>
        <w:rPr>
          <w:rFonts w:cs="Times New Roman (Body CS)"/>
        </w:rPr>
      </w:r>
      <w:r>
        <w:rPr>
          <w:rFonts w:cs="Times New Roman (Body CS)"/>
        </w:rPr>
        <w:fldChar w:fldCharType="end"/>
      </w:r>
      <w:r>
        <w:rPr>
          <w:rFonts w:cs="Times New Roman (Body CS)"/>
        </w:rPr>
        <w:t xml:space="preserve">. PSP and CBD each have distinct filament structures that are only made of 4R tau isoforms (0N4R, 1N4R, 2N4R) </w:t>
      </w:r>
      <w:r>
        <w:fldChar w:fldCharType="begin"/>
      </w:r>
      <w:r>
        <w:rPr>
          <w:rFonts w:cs="Times New Roman (Body CS)"/>
        </w:rPr>
        <w:instrText>ADDIN EN.CITE</w:instrText>
      </w:r>
      <w:r>
        <w:rPr>
          <w:rFonts w:cs="Times New Roman (Body CS)"/>
        </w:rPr>
      </w:r>
      <w:r>
        <w:fldChar w:fldCharType="begin"/>
      </w:r>
      <w:r>
        <w:rPr>
          <w:rFonts w:cs="Times New Roman (Body CS)"/>
        </w:rPr>
        <w:instrText>ADDIN EN.CITE.DATA</w:instrText>
      </w:r>
      <w:r>
        <w:rPr>
          <w:rFonts w:cs="Times New Roman (Body CS)"/>
        </w:rPr>
      </w:r>
      <w:r>
        <w:rPr>
          <w:rFonts w:cs="Times New Roman (Body CS)"/>
        </w:rPr>
        <w:fldChar w:fldCharType="separate"/>
      </w:r>
      <w:r>
        <w:rPr>
          <w:rFonts w:cs="Times New Roman (Body CS)"/>
        </w:rPr>
      </w:r>
      <w:r>
        <w:rPr>
          <w:rFonts w:cs="Times New Roman (Body CS)"/>
        </w:rPr>
      </w:r>
      <w:r>
        <w:rPr>
          <w:rFonts w:cs="Times New Roman (Body CS)"/>
        </w:rPr>
        <w:fldChar w:fldCharType="end"/>
      </w:r>
      <w:r>
        <w:rPr>
          <w:rFonts w:cs="Times New Roman (Body CS)"/>
        </w:rPr>
        <w:fldChar w:fldCharType="separate"/>
      </w:r>
      <w:r>
        <w:rPr>
          <w:rFonts w:cs="Times New Roman (Body CS)"/>
        </w:rPr>
        <w:t>(Shi et al. 2021)</w:t>
      </w:r>
      <w:r>
        <w:rPr>
          <w:rFonts w:cs="Times New Roman (Body CS)"/>
        </w:rPr>
      </w:r>
      <w:r>
        <w:rPr>
          <w:rFonts w:cs="Times New Roman (Body CS)"/>
        </w:rPr>
        <w:fldChar w:fldCharType="end"/>
      </w:r>
      <w:r>
        <w:rPr>
          <w:rFonts w:cs="Times New Roman (Body CS)"/>
        </w:rPr>
        <w:t xml:space="preserve">, whereas only 3R tau isoforms (0N3R, 1N3R, 2N3R) are found in the filaments of PiD </w:t>
      </w:r>
      <w:r>
        <w:fldChar w:fldCharType="begin"/>
      </w:r>
      <w:r>
        <w:rPr>
          <w:rFonts w:cs="Times New Roman (Body CS)"/>
        </w:rPr>
        <w:instrText>ADDIN EN.CITE</w:instrText>
      </w:r>
      <w:r>
        <w:rPr>
          <w:rFonts w:cs="Times New Roman (Body CS)"/>
        </w:rPr>
      </w:r>
      <w:r>
        <w:fldChar w:fldCharType="begin"/>
      </w:r>
      <w:r>
        <w:rPr>
          <w:rFonts w:cs="Times New Roman (Body CS)"/>
        </w:rPr>
        <w:instrText>ADDIN EN.CITE.DATA</w:instrText>
      </w:r>
      <w:r>
        <w:rPr>
          <w:rFonts w:cs="Times New Roman (Body CS)"/>
        </w:rPr>
      </w:r>
      <w:r>
        <w:rPr>
          <w:rFonts w:cs="Times New Roman (Body CS)"/>
        </w:rPr>
        <w:fldChar w:fldCharType="separate"/>
      </w:r>
      <w:r>
        <w:rPr>
          <w:rFonts w:cs="Times New Roman (Body CS)"/>
        </w:rPr>
      </w:r>
      <w:r>
        <w:rPr>
          <w:rFonts w:cs="Times New Roman (Body CS)"/>
        </w:rPr>
      </w:r>
      <w:r>
        <w:rPr>
          <w:rFonts w:cs="Times New Roman (Body CS)"/>
        </w:rPr>
        <w:fldChar w:fldCharType="end"/>
      </w:r>
      <w:r>
        <w:rPr>
          <w:rFonts w:cs="Times New Roman (Body CS)"/>
        </w:rPr>
        <w:fldChar w:fldCharType="separate"/>
      </w:r>
      <w:r>
        <w:rPr>
          <w:rFonts w:cs="Times New Roman (Body CS)"/>
        </w:rPr>
        <w:t>(Falcon et al. 2018)</w:t>
      </w:r>
      <w:r>
        <w:rPr>
          <w:rFonts w:cs="Times New Roman (Body CS)"/>
        </w:rPr>
      </w:r>
      <w:r>
        <w:rPr>
          <w:rFonts w:cs="Times New Roman (Body CS)"/>
        </w:rPr>
        <w:fldChar w:fldCharType="end"/>
      </w:r>
      <w:r>
        <w:rPr>
          <w:rFonts w:cs="Times New Roman (Body CS)"/>
        </w:rPr>
        <w:t>. Tauopathies differ from each other not only at the molecular level, but also by their cell type vulnerability, neuroanatomical progression and clinical manifestation. The development of model systems that recapitulate the tau filament structures found in disease is essential for understanding the molecular mechanisms of tauopathies.</w:t>
      </w:r>
    </w:p>
    <w:p>
      <w:pPr>
        <w:pStyle w:val="Normal"/>
        <w:spacing w:lineRule="auto" w:line="360"/>
        <w:ind w:firstLine="720"/>
        <w:rPr>
          <w:rFonts w:cs="Times New Roman (Body CS)"/>
        </w:rPr>
      </w:pPr>
      <w:r>
        <w:rPr/>
        <w:t xml:space="preserve">Pre-formed tau assemblies (seeds) can induce the assembly of monomeric tau into filaments. This prion-like propagation of tau filaments is believed to underlie the progression of disease and the spreading of tau pathology along neuroanatomical connections </w:t>
      </w:r>
      <w:r>
        <w:fldChar w:fldCharType="begin"/>
      </w:r>
      <w:r>
        <w:rPr/>
        <w:instrText>ADDIN EN.CITE &lt;EndNote&gt;&lt;Cite&gt;&lt;Author&gt;Braak&lt;/Author&gt;&lt;Year&gt;1991&lt;/Year&gt;&lt;RecNum&gt;15&lt;/RecNum&gt;&lt;DisplayText&gt;(Braak and Braak 1991)&lt;/DisplayText&gt;&lt;record&gt;&lt;rec-number&gt;15&lt;/rec-number&gt;&lt;foreign-keys&gt;&lt;key app="EN" db-id="fr2a5af9ftzv2weapfwvxwwnwf0rr90rtsxr" timestamp="1780229219"&gt;15&lt;/key&gt;&lt;/foreign-keys&gt;&lt;ref-type name="Journal Article"&gt;17&lt;/ref-type&gt;&lt;contributors&gt;&lt;authors&gt;&lt;author&gt;Braak, H.&lt;/author&gt;&lt;author&gt;Braak, E.&lt;/author&gt;&lt;/authors&gt;&lt;/contributors&gt;&lt;auth-address&gt;Zentrum der Morphologie, J. W. Goethe-Universitat, Frankfurt/Main, Federal Republic of Germany.&lt;/auth-address&gt;&lt;titles&gt;&lt;title&gt;Alzheimer&amp;apos;s disease affects limbic nuclei of the thalamus&lt;/title&gt;&lt;secondary-title&gt;Acta Neuropathol&lt;/secondary-title&gt;&lt;/titles&gt;&lt;periodical&gt;&lt;full-title&gt;Acta Neuropathol&lt;/full-title&gt;&lt;/periodical&gt;&lt;pages&gt;261-8&lt;/pages&gt;&lt;volume&gt;81&lt;/volume&gt;&lt;number&gt;3&lt;/number&gt;&lt;keywords&gt;&lt;keyword&gt;Aged&lt;/keyword&gt;&lt;keyword&gt;Aged, 80 and over&lt;/keyword&gt;&lt;keyword&gt;Alzheimer Disease/*pathology&lt;/keyword&gt;&lt;keyword&gt;Amyloid/analysis&lt;/keyword&gt;&lt;keyword&gt;Dementia/pathology&lt;/keyword&gt;&lt;keyword&gt;Down Syndrome/pathology&lt;/keyword&gt;&lt;keyword&gt;Female&lt;/keyword&gt;&lt;keyword&gt;Humans&lt;/keyword&gt;&lt;keyword&gt;Limbic System/*pathology&lt;/keyword&gt;&lt;keyword&gt;Male&lt;/keyword&gt;&lt;keyword&gt;Middle Aged&lt;/keyword&gt;&lt;keyword&gt;Neurons/ultrastructure&lt;/keyword&gt;&lt;keyword&gt;Reticular Formation/pathology&lt;/keyword&gt;&lt;keyword&gt;Staining and Labeling&lt;/keyword&gt;&lt;keyword&gt;Thalamic Nuclei/*pathology&lt;/keyword&gt;&lt;/keywords&gt;&lt;dates&gt;&lt;year&gt;1991&lt;/year&gt;&lt;/dates&gt;&lt;isbn&gt;0001-6322 (Print)&amp;#xD;0001-6322 (Linking)&lt;/isbn&gt;&lt;accession-num&gt;1711755&lt;/accession-num&gt;&lt;urls&gt;&lt;related-urls&gt;&lt;url&gt;https://www.ncbi.nlm.nih.gov/pubmed/1711755&lt;/url&gt;&lt;/related-urls&gt;&lt;/urls&gt;&lt;electronic-resource-num&gt;10.1007/BF00305867&lt;/electronic-resource-num&gt;&lt;remote-database-name&gt;Medline&lt;/remote-database-name&gt;&lt;remote-database-provider&gt;NLM&lt;/remote-database-provider&gt;&lt;/record&gt;&lt;/Cite&gt;&lt;/EndNote&gt;</w:instrText>
      </w:r>
      <w:r>
        <w:rPr/>
      </w:r>
      <w:r>
        <w:rPr/>
        <w:fldChar w:fldCharType="separate"/>
      </w:r>
      <w:r>
        <w:rPr/>
        <w:t>(Braak and Braak 1991)</w:t>
      </w:r>
      <w:r>
        <w:rPr/>
      </w:r>
      <w:r>
        <w:rPr/>
        <w:fldChar w:fldCharType="end"/>
      </w:r>
      <w:r>
        <w:rPr/>
        <w:t xml:space="preserve">. </w:t>
      </w:r>
      <w:r>
        <w:rPr>
          <w:rFonts w:cs="Times New Roman (Body CS)"/>
        </w:rPr>
        <w:t xml:space="preserve">When tau filaments are injected into mouse brains, they are taken up at the injection sites and induce more tau assembly, after which pathology spreads to distal regions, suggesting cell-to-cell propagation of tau filaments in the brain </w:t>
      </w:r>
      <w:r>
        <w:fldChar w:fldCharType="begin"/>
      </w:r>
      <w:r>
        <w:rPr>
          <w:rFonts w:cs="Times New Roman (Body CS)"/>
        </w:rPr>
        <w:instrText>ADDIN EN.CITE</w:instrText>
      </w:r>
      <w:r>
        <w:rPr>
          <w:rFonts w:cs="Times New Roman (Body CS)"/>
        </w:rPr>
      </w:r>
      <w:r>
        <w:fldChar w:fldCharType="begin"/>
      </w:r>
      <w:r>
        <w:rPr>
          <w:rFonts w:cs="Times New Roman (Body CS)"/>
        </w:rPr>
        <w:instrText>ADDIN EN.CITE.DATA</w:instrText>
      </w:r>
      <w:r>
        <w:rPr>
          <w:rFonts w:cs="Times New Roman (Body CS)"/>
        </w:rPr>
      </w:r>
      <w:r>
        <w:rPr>
          <w:rFonts w:cs="Times New Roman (Body CS)"/>
        </w:rPr>
        <w:fldChar w:fldCharType="separate"/>
      </w:r>
      <w:r>
        <w:rPr>
          <w:rFonts w:cs="Times New Roman (Body CS)"/>
        </w:rPr>
      </w:r>
      <w:r>
        <w:rPr>
          <w:rFonts w:cs="Times New Roman (Body CS)"/>
        </w:rPr>
      </w:r>
      <w:r>
        <w:rPr>
          <w:rFonts w:cs="Times New Roman (Body CS)"/>
        </w:rPr>
        <w:fldChar w:fldCharType="end"/>
      </w:r>
      <w:r>
        <w:rPr>
          <w:rFonts w:cs="Times New Roman (Body CS)"/>
        </w:rPr>
        <w:fldChar w:fldCharType="separate"/>
      </w:r>
      <w:r>
        <w:rPr>
          <w:rFonts w:cs="Times New Roman (Body CS)"/>
        </w:rPr>
        <w:t>(Clavaguera et al. 2009; Clavaguera et al. 2013; Boluda et al. 2015; Guo et al. 2016; Iba et al. 2013; Iba et al. 2015)</w:t>
      </w:r>
      <w:r>
        <w:rPr>
          <w:rFonts w:cs="Times New Roman (Body CS)"/>
        </w:rPr>
      </w:r>
      <w:r>
        <w:rPr>
          <w:rFonts w:cs="Times New Roman (Body CS)"/>
        </w:rPr>
        <w:fldChar w:fldCharType="end"/>
      </w:r>
      <w:r>
        <w:rPr>
          <w:rFonts w:cs="Times New Roman (Body CS)"/>
        </w:rPr>
        <w:t>.  Moreover, the injection of AD tau seeds into mice with abundant amyloid-</w:t>
      </w:r>
      <w:r>
        <w:rPr>
          <w:rFonts w:cs="Times New Roman (Body CS)"/>
          <w:lang w:val="el-GR"/>
        </w:rPr>
        <w:t>β</w:t>
      </w:r>
      <w:r>
        <w:rPr>
          <w:rFonts w:cs="Times New Roman (Body CS)"/>
        </w:rPr>
        <w:t xml:space="preserve"> plaques leads to a marked enhancement of tau inclusions compared to injections into wildtype mice </w:t>
      </w:r>
      <w:r>
        <w:fldChar w:fldCharType="begin"/>
      </w:r>
      <w:r>
        <w:rPr>
          <w:rFonts w:cs="Times New Roman (Body CS)"/>
        </w:rPr>
        <w:instrText>ADDIN EN.CITE</w:instrText>
      </w:r>
      <w:r>
        <w:rPr>
          <w:rFonts w:cs="Times New Roman (Body CS)"/>
        </w:rPr>
      </w:r>
      <w:r>
        <w:fldChar w:fldCharType="begin"/>
      </w:r>
      <w:r>
        <w:rPr>
          <w:rFonts w:cs="Times New Roman (Body CS)"/>
        </w:rPr>
        <w:instrText>ADDIN EN.CITE.DATA</w:instrText>
      </w:r>
      <w:r>
        <w:rPr>
          <w:rFonts w:cs="Times New Roman (Body CS)"/>
        </w:rPr>
      </w:r>
      <w:r>
        <w:rPr>
          <w:rFonts w:cs="Times New Roman (Body CS)"/>
        </w:rPr>
        <w:fldChar w:fldCharType="separate"/>
      </w:r>
      <w:r>
        <w:rPr>
          <w:rFonts w:cs="Times New Roman (Body CS)"/>
        </w:rPr>
      </w:r>
      <w:r>
        <w:rPr>
          <w:rFonts w:cs="Times New Roman (Body CS)"/>
        </w:rPr>
      </w:r>
      <w:r>
        <w:rPr>
          <w:rFonts w:cs="Times New Roman (Body CS)"/>
        </w:rPr>
        <w:fldChar w:fldCharType="end"/>
      </w:r>
      <w:r>
        <w:rPr>
          <w:rFonts w:cs="Times New Roman (Body CS)"/>
        </w:rPr>
        <w:fldChar w:fldCharType="separate"/>
      </w:r>
      <w:r>
        <w:rPr>
          <w:rFonts w:cs="Times New Roman (Body CS)"/>
        </w:rPr>
        <w:t>(He et al. 2018)</w:t>
      </w:r>
      <w:r>
        <w:rPr>
          <w:rFonts w:cs="Times New Roman (Body CS)"/>
        </w:rPr>
      </w:r>
      <w:r>
        <w:rPr>
          <w:rFonts w:cs="Times New Roman (Body CS)"/>
        </w:rPr>
        <w:fldChar w:fldCharType="end"/>
      </w:r>
      <w:r>
        <w:rPr>
          <w:rFonts w:cs="Times New Roman (Body CS)"/>
        </w:rPr>
        <w:t>.</w:t>
      </w:r>
    </w:p>
    <w:p>
      <w:pPr>
        <w:pStyle w:val="Normal"/>
        <w:spacing w:lineRule="auto" w:line="360"/>
        <w:ind w:firstLine="720"/>
        <w:jc w:val="both"/>
        <w:rPr/>
      </w:pPr>
      <w:r>
        <w:rPr/>
        <w:t xml:space="preserve">The seeded assembly of monomeric tau into filaments has been demonstrated extensively in cell culture systems. The addition of tau seeds to HEK293 cells overexpressing wildtype or mutant tau has resulted in the robust assembly of monomeric tau into filaments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(Falcon et al. 2015; Huang and McEwan 2025; Katsinelos et al. 2025; McEwan et al. 2017; Tarutani et al. 2023)</w:t>
      </w:r>
      <w:r>
        <w:rPr/>
      </w:r>
      <w:r>
        <w:rPr/>
        <w:fldChar w:fldCharType="end"/>
      </w:r>
      <w:r>
        <w:rPr/>
        <w:t xml:space="preserve">. However, where investigated, their cryo-EM structures differed from those of the seeds. Thus, undifferentiated SH-SY5Y cells that transiently expressed full-length wild-type human tau propagated only single protofilaments with the Alzheimer fold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(Tarutani et al. 2023)</w:t>
      </w:r>
      <w:r>
        <w:rPr/>
      </w:r>
      <w:r>
        <w:rPr/>
        <w:fldChar w:fldCharType="end"/>
      </w:r>
      <w:r>
        <w:rPr/>
        <w:t xml:space="preserve">, and HEK293 cells stably expressing residues 297-391 of human tau propagated two protofilaments of the Alzheimer fold but with differing interprotofilament packing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(Katsinelos et al. 2025)</w:t>
      </w:r>
      <w:r>
        <w:rPr/>
      </w:r>
      <w:r>
        <w:rPr/>
        <w:fldChar w:fldCharType="end"/>
      </w:r>
      <w:r>
        <w:rPr/>
        <w:t xml:space="preserve">. </w:t>
      </w:r>
    </w:p>
    <w:p>
      <w:pPr>
        <w:pStyle w:val="Normal"/>
        <w:spacing w:lineRule="auto" w:line="360"/>
        <w:jc w:val="both"/>
        <w:rPr/>
      </w:pPr>
      <w:r>
        <w:rPr/>
        <w:tab/>
        <w:t>Here we report the development of a system using mixed primary cortical murine cells expressing full-length human 3R or 4R tau in nerve cells that form abundant HA-tagged tau filaments upon exposure to seeds from the brains of individuals with AD. By cryo-EM, the templated filaments are identical to PHFs from AD brain. Moreover, seeded aggregation with PiD, PSP, or CBD-derived tau seeds in 3R or 4R tau expressing neurons leads to marked morphological differences in the seeded assemblies, as judged by super-resolution light microscopy.</w:t>
      </w:r>
    </w:p>
    <w:p>
      <w:pPr>
        <w:pStyle w:val="Normal"/>
        <w:spacing w:lineRule="auto" w:line="360"/>
        <w:jc w:val="both"/>
        <w:rPr/>
      </w:pPr>
      <w:r>
        <w:rPr/>
      </w:r>
    </w:p>
    <w:p>
      <w:pPr>
        <w:pStyle w:val="Normal"/>
        <w:spacing w:lineRule="auto" w:line="360"/>
        <w:jc w:val="both"/>
        <w:rPr>
          <w:b/>
          <w:b/>
          <w:bCs/>
        </w:rPr>
      </w:pPr>
      <w:r>
        <w:rPr>
          <w:b/>
          <w:bCs/>
          <w:i/>
          <w:iCs/>
        </w:rPr>
        <w:t>Results</w:t>
      </w:r>
    </w:p>
    <w:p>
      <w:pPr>
        <w:pStyle w:val="Normal"/>
        <w:spacing w:lineRule="auto" w:line="360"/>
        <w:ind w:firstLine="720"/>
        <w:jc w:val="both"/>
        <w:rPr/>
      </w:pPr>
      <w:r>
        <w:rPr/>
        <w:t xml:space="preserve">Primary neuronal cultures from mice have been used previously to demonstrate seeded aggregation of wild-type tau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(Guo et al. 2016; Narasimhan et al. 2017; Mueller, Combs, and Kanaan 2025; Wu et al. 2025)</w:t>
      </w:r>
      <w:r>
        <w:rPr/>
      </w:r>
      <w:r>
        <w:rPr/>
        <w:fldChar w:fldCharType="end"/>
      </w:r>
      <w:r>
        <w:rPr/>
        <w:t>. These studies are limited by the extent of the induced pathology, the expression of certain tau species, and by the inability to conclusively distinguish the seed from the templated assemblies. To address these limitations, we developed a system using brain-derived tau seeds and AAV-mediated neuronal expression of full-length human tau constructs (</w:t>
      </w:r>
      <w:r>
        <w:rPr>
          <w:b/>
          <w:bCs/>
        </w:rPr>
        <w:t>Figure 1A</w:t>
      </w:r>
      <w:r>
        <w:rPr/>
        <w:t>). Primary cortical cultures from P0 wild-type mice contained a mixture of astrocytes (±47%), neurons (±30%), and microglia (±5%) (S.</w:t>
      </w:r>
      <w:r>
        <w:rPr>
          <w:b/>
          <w:bCs/>
        </w:rPr>
        <w:t>Figure 1A</w:t>
      </w:r>
      <w:r>
        <w:rPr/>
        <w:t xml:space="preserve">). We therefore used chimeric particles of an AAV (AAV1/2) to drive expression of HA-tagged 0N3R or 0N4R human tau under the control of the neuronal-specific human synapsin-1 promoter (hSyn) at DIV0 </w:t>
      </w:r>
      <w:r>
        <w:rPr>
          <w:b/>
          <w:bCs/>
        </w:rPr>
        <w:t>(Figure 1A</w:t>
      </w:r>
      <w:r>
        <w:rPr/>
        <w:t>). This resulted in high transduction efficiency (&gt;78%) and specificity of expression in neurons (</w:t>
      </w:r>
      <w:r>
        <w:rPr>
          <w:b/>
          <w:bCs/>
        </w:rPr>
        <w:t>S.Figure1B,C</w:t>
      </w:r>
      <w:r>
        <w:rPr/>
        <w:t>). Addition of AD brain-derived tau seeds at DIV03 to primary cultures overexpressing either HA-0N3R or HA-0N4R tau led to the formation of both somatic and neuritic HA-tagged tau inclusions (</w:t>
      </w:r>
      <w:r>
        <w:rPr>
          <w:b/>
          <w:bCs/>
        </w:rPr>
        <w:t>Figure 1B</w:t>
      </w:r>
      <w:r>
        <w:rPr/>
        <w:t>), visible after 100% MeOH fixation, as well as sarkosyl-insoluble tau (</w:t>
      </w:r>
      <w:r>
        <w:rPr>
          <w:b/>
          <w:bCs/>
        </w:rPr>
        <w:t>Figure 1D</w:t>
      </w:r>
      <w:r>
        <w:rPr/>
        <w:t xml:space="preserve">) by DIV14. Deletion of amino acids 306-311, which are required for filament formation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(Li and Lee 2006; Macdonald et al. 2019; von Bergen et al. 2000)</w:t>
      </w:r>
      <w:r>
        <w:rPr/>
      </w:r>
      <w:r>
        <w:rPr/>
        <w:fldChar w:fldCharType="end"/>
      </w:r>
      <w:r>
        <w:rPr/>
        <w:t xml:space="preserve"> prevented the formation of HA-tau inclusions (</w:t>
      </w:r>
      <w:r>
        <w:rPr>
          <w:b/>
          <w:bCs/>
        </w:rPr>
        <w:t>Figure 1B, D</w:t>
      </w:r>
      <w:r>
        <w:rPr/>
        <w:t>). HA-tau inclusions co-localised with phosphorylation dependent antibody AT100 (pT212/S214/T217) and a pentameric oligothiophene dye (pFTAA), indicating the formation of hyperphosphorylated, filamentous assemblies (</w:t>
      </w:r>
      <w:r>
        <w:rPr>
          <w:b/>
          <w:bCs/>
        </w:rPr>
        <w:t>Figure 1C</w:t>
      </w:r>
      <w:r>
        <w:rPr/>
        <w:t>). Immuno-EM of the sarkosyl-insoluble extract confirmed the presence of HA-labelled tau filaments (</w:t>
      </w:r>
      <w:r>
        <w:rPr>
          <w:b/>
          <w:bCs/>
        </w:rPr>
        <w:t>Figure 1C</w:t>
      </w:r>
      <w:r>
        <w:rPr/>
        <w:t>).</w:t>
      </w:r>
    </w:p>
    <w:p>
      <w:pPr>
        <w:pStyle w:val="Normal"/>
        <w:spacing w:lineRule="auto" w:line="360"/>
        <w:ind w:firstLine="720"/>
        <w:jc w:val="both"/>
        <w:rPr/>
      </w:pPr>
      <w:r>
        <w:rPr/>
        <w:t xml:space="preserve">We next sought to determine the cryo-EM structure of the templated tau assemblies. To unambiguously demonstrate that we could solve the structure of the templated filaments, rather than the seed itself, we overexpressed HA-0N3R tau with the human </w:t>
      </w:r>
      <w:r>
        <w:rPr>
          <w:i/>
          <w:iCs/>
        </w:rPr>
        <w:t xml:space="preserve">MAPT </w:t>
      </w:r>
      <w:r>
        <w:rPr/>
        <w:t xml:space="preserve">mutation V337M. This amino acid substitution gives rise to tau filaments with the Alzheimer fold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(Qi et al. 2025)</w:t>
      </w:r>
      <w:r>
        <w:rPr/>
      </w:r>
      <w:r>
        <w:rPr/>
        <w:fldChar w:fldCharType="end"/>
      </w:r>
      <w:r>
        <w:rPr/>
        <w:t>, and the mutation lies within the ordered core of the tau filaments, allowing for cryo-EM mapping of the methionine residue. This enabled us to rule out the possibility that we were re-extracting and determining the structure of the seed, which would instead have a valine residue at position 337. Addition of AD seed to neuronal cultures overexpressing HA-0N3R-V337M led to HA-positive neuronal inclusions which co-localised with pFTAA and AT100 (</w:t>
      </w:r>
      <w:r>
        <w:rPr>
          <w:b/>
          <w:bCs/>
        </w:rPr>
        <w:t>Figure 2</w:t>
      </w:r>
      <w:r>
        <w:rPr/>
        <w:t>). Immuno-EM of the sarkosyl-insoluble extract confirmed the presence of HA-labeled tau filaments (</w:t>
      </w:r>
      <w:r>
        <w:rPr>
          <w:b/>
          <w:bCs/>
        </w:rPr>
        <w:t>Figure 2</w:t>
      </w:r>
      <w:r>
        <w:rPr/>
        <w:t>). Cryo-EM analysis showed that tau filaments extracted from primary neurons adopted PHFs with a minor population (18%) of single protofilaments with the Alzheimer fold.  The cryo-EM density at residue 337 is consistent with a methionine (</w:t>
      </w:r>
      <w:r>
        <w:rPr>
          <w:b/>
          <w:bCs/>
        </w:rPr>
        <w:t>Figure 2, S.Figure 3</w:t>
      </w:r>
      <w:r>
        <w:rPr/>
        <w:t xml:space="preserve">). </w:t>
      </w:r>
    </w:p>
    <w:p>
      <w:pPr>
        <w:pStyle w:val="Normal"/>
        <w:spacing w:lineRule="auto" w:line="360"/>
        <w:ind w:firstLine="720"/>
        <w:jc w:val="both"/>
        <w:rPr/>
      </w:pPr>
      <w:r>
        <w:rPr/>
        <w:t>The versatility of this neuronal culture system, using AAV-mediated expression, enables the specific monitoring of templated tau assembly in neurons, which has previously been difficult. We observed robust seeded aggregation within 18 days after the addition of AD seed with AAV-mediated overexpression of tau (</w:t>
      </w:r>
      <w:r>
        <w:rPr>
          <w:b/>
          <w:bCs/>
        </w:rPr>
        <w:t>Figure 3</w:t>
      </w:r>
      <w:r>
        <w:rPr/>
        <w:t>). Sarkosyl-insoluble tau was detectable by immunoblotting and ICC with HA and total tau (BR134) antibodies by DIV10 (</w:t>
      </w:r>
      <w:r>
        <w:rPr>
          <w:b/>
          <w:bCs/>
        </w:rPr>
        <w:t>Figure 3</w:t>
      </w:r>
      <w:r>
        <w:rPr/>
        <w:t>). To monitor tau aggregation in live cells, we fused the monomeric green fluorescent protein dendra2 to the N-terminus of tau. Live-cell imaging of primary neurons expressing dendra2-0N3R over two weeks showed dynamic, bright, fluorescent aggregates appearing 4 days post-seeding (</w:t>
      </w:r>
      <w:r>
        <w:rPr>
          <w:b/>
          <w:bCs/>
        </w:rPr>
        <w:t>Supplementary Video 1</w:t>
      </w:r>
      <w:r>
        <w:rPr/>
        <w:t>). Fluorescent tau aggregates moved along neuronal processes in the culture. Live-cell confocal imaging revealed fluorescent aggregates appearing in the cell soma, with the size and intensity of the aggregates increasing over 12 hours (</w:t>
      </w:r>
      <w:r>
        <w:rPr>
          <w:b/>
          <w:bCs/>
        </w:rPr>
        <w:t>Figure 3,</w:t>
      </w:r>
      <w:r>
        <w:rPr/>
        <w:t xml:space="preserve"> </w:t>
      </w:r>
      <w:r>
        <w:rPr>
          <w:b/>
          <w:bCs/>
        </w:rPr>
        <w:t>Supplementary Video 2</w:t>
      </w:r>
      <w:r>
        <w:rPr/>
        <w:t xml:space="preserve">). </w:t>
      </w:r>
    </w:p>
    <w:p>
      <w:pPr>
        <w:pStyle w:val="Normal"/>
        <w:spacing w:lineRule="auto" w:line="360"/>
        <w:ind w:firstLine="720"/>
        <w:jc w:val="both"/>
        <w:rPr/>
      </w:pPr>
      <w:r>
        <w:rPr/>
        <w:t xml:space="preserve">We next used Stimulated Emission Depletion (STED) microscopy to visualise tau aggregates in fixed neurons at DIV14 by super resolution light microscopy. PHFs have widths of 10-30nm and can be microns in length, as assessed by EM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(Fitzpatrick et al. 2017)</w:t>
      </w:r>
      <w:r>
        <w:rPr/>
      </w:r>
      <w:r>
        <w:rPr/>
        <w:fldChar w:fldCharType="end"/>
      </w:r>
      <w:r>
        <w:rPr/>
        <w:t xml:space="preserve">. We used a mouse anti-HA antibody and a STAR RED conjugated goat anti-mouse IgG secondary to label the templated tau assemblies. A typical IgG antibody is 10-15nm in size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(Valli et al. 2021)</w:t>
      </w:r>
      <w:r>
        <w:rPr/>
      </w:r>
      <w:r>
        <w:rPr/>
        <w:fldChar w:fldCharType="end"/>
      </w:r>
      <w:r>
        <w:rPr/>
        <w:t xml:space="preserve">, which would add +/-30nm in dimension to a labelled tau filament. In unseeded neurons, we observed diffuse, intraneuronal HA labelling. With the addition of AD seed, HA-tagged tau aggregated within somatic and neuritic compartments </w:t>
      </w:r>
      <w:r>
        <w:rPr>
          <w:b/>
          <w:bCs/>
        </w:rPr>
        <w:t>(Figure 4)</w:t>
      </w:r>
      <w:r>
        <w:rPr/>
        <w:t xml:space="preserve">. A representative HA-tau aggregate was resolved using STED imaging to a width (fwhm) of 71nm, where the width by confocal imaging was 210nm. This is comparable to the values obtained from STED imaging of neurofibrillary tangles in human AD brain sections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(Benda et al. 2016)</w:t>
      </w:r>
      <w:r>
        <w:rPr/>
      </w:r>
      <w:r>
        <w:rPr/>
        <w:fldChar w:fldCharType="end"/>
      </w:r>
      <w:r>
        <w:rPr/>
        <w:t>. Tau aggregates appeared filamentous, with an average length of 612nm±236.3 (standard deviation 236, n = 202) and ranging from 137-1427nm. We performed a time-course analysis by fixing seeded neurons at DIV07, DIV10, DIV14, DIV18, or DIV2. At DIV10, we observed discrete filamentous aggregates of HA-tau, which increased in density at DIV14. At DIV18, we observed large clusters of tau aggregates, as well as filamentous aggregates, the extent of which increased at DIV21. At later stages of seeded aggregation, we frequently observed HA-tau aggregates surrounding circular compartments that ranged from 0.5-2</w:t>
      </w:r>
      <w:r>
        <w:rPr>
          <w:lang w:val="el-GR"/>
        </w:rPr>
        <w:t>μ</w:t>
      </w:r>
      <w:r>
        <w:rPr/>
        <w:t>m in diameter. Co-staining with lysosomal marker LAMP1 (lysosomal associated membrane protein 1) revealed tau aggregates surrounding lysosomal membranes, while the luminal compartment remained largely devoid of HA signal (</w:t>
      </w:r>
      <w:r>
        <w:rPr>
          <w:b/>
          <w:bCs/>
        </w:rPr>
        <w:t>S. Figure 4).</w:t>
      </w:r>
      <w:r>
        <w:rPr/>
        <w:t xml:space="preserve">  </w:t>
      </w:r>
    </w:p>
    <w:p>
      <w:pPr>
        <w:pStyle w:val="Normal"/>
        <w:spacing w:lineRule="auto" w:line="360"/>
        <w:ind w:firstLine="720"/>
        <w:jc w:val="both"/>
        <w:rPr/>
      </w:pPr>
      <w:r>
        <w:rPr/>
        <w:t>Having established this system as a robust model of templated tau assembly using AD seeds, we next investigated whether this platform could be applied to other tauopathies, specifically PID, CBD, and PSP. For PID, which is a 3R tauopathy, we used cultures expressing HA-0N3R. For CBD and PSP, which are 4R tauopathies, we used cultures expressing HA-0N4R. Addition of PID, CBD, or PSP seeds resulted in formation of neuronal inclusions which were positive for HA and pFTAA (</w:t>
      </w:r>
      <w:r>
        <w:rPr>
          <w:b/>
          <w:bCs/>
        </w:rPr>
        <w:t>Figure 5A</w:t>
      </w:r>
      <w:r>
        <w:rPr/>
        <w:t>). We performed negative stain and immuno-EM on the sarkosyl-insoluble fraction of these seeded cultures and observed HA-labelled filaments (</w:t>
      </w:r>
      <w:r>
        <w:rPr>
          <w:b/>
          <w:bCs/>
        </w:rPr>
        <w:t>Figure 5B,C</w:t>
      </w:r>
      <w:r>
        <w:rPr/>
        <w:t xml:space="preserve">). </w:t>
      </w:r>
    </w:p>
    <w:p>
      <w:pPr>
        <w:pStyle w:val="Normal"/>
        <w:spacing w:lineRule="auto" w:line="360"/>
        <w:ind w:firstLine="720"/>
        <w:jc w:val="both"/>
        <w:rPr/>
      </w:pPr>
      <w:r>
        <w:rPr/>
        <w:t>Given that different tauopathies are characterised by distinct filament structures, we next tested whether the seeds derived from AD, PID, CBD, and PSP induce morphologically distinct aggregates by STED imaging. As with AD, we observed filamentous aggregates at DIV10 when seeding with PID, CBD and PSP (</w:t>
      </w:r>
      <w:r>
        <w:rPr>
          <w:b/>
          <w:bCs/>
        </w:rPr>
        <w:t>Figure 6</w:t>
      </w:r>
      <w:r>
        <w:rPr/>
        <w:t xml:space="preserve">). At DIV18 and 21, we observe striking morphological differences between AD-seeded and PID-, CBD-, or PSP- seeded aggregates. Whereas AD-seeded aggregates formed dense clumps within the neuronal soma, we observed long bundles of fibres in PID-seeded neurons. CBD- and PSP- seeded neurons had networks of long, thin filamentous aggregates, with thicker bundles occasionally observed. </w:t>
      </w:r>
    </w:p>
    <w:p>
      <w:pPr>
        <w:pStyle w:val="Normal"/>
        <w:spacing w:lineRule="auto" w:line="360"/>
        <w:jc w:val="both"/>
        <w:rPr/>
      </w:pPr>
      <w:r>
        <w:rPr>
          <w:highlight w:val="yellow"/>
        </w:rPr>
        <w:t>(quantification still in progress)</w:t>
      </w:r>
    </w:p>
    <w:p>
      <w:pPr>
        <w:pStyle w:val="Normal"/>
        <w:spacing w:lineRule="auto" w:line="360"/>
        <w:jc w:val="both"/>
        <w:rPr/>
      </w:pPr>
      <w:r>
        <w:rPr/>
      </w:r>
    </w:p>
    <w:p>
      <w:pPr>
        <w:pStyle w:val="Normal"/>
        <w:spacing w:lineRule="auto" w:line="360"/>
        <w:rPr>
          <w:b/>
          <w:b/>
          <w:bCs/>
          <w:i/>
          <w:i/>
          <w:iCs/>
        </w:rPr>
      </w:pPr>
      <w:r>
        <w:rPr>
          <w:b/>
          <w:bCs/>
          <w:i/>
          <w:iCs/>
        </w:rPr>
      </w:r>
      <w:r>
        <w:br w:type="page"/>
      </w:r>
    </w:p>
    <w:p>
      <w:pPr>
        <w:pStyle w:val="Normal"/>
        <w:spacing w:lineRule="auto" w:line="360"/>
        <w:jc w:val="both"/>
        <w:rPr>
          <w:b/>
          <w:b/>
          <w:bCs/>
          <w:i/>
          <w:i/>
          <w:iCs/>
        </w:rPr>
      </w:pPr>
      <w:r>
        <w:rPr>
          <w:b/>
          <w:bCs/>
          <w:i/>
          <w:iCs/>
        </w:rPr>
        <w:t>Discussion</w:t>
      </w:r>
    </w:p>
    <w:p>
      <w:pPr>
        <w:pStyle w:val="Normal"/>
        <w:spacing w:lineRule="auto" w:line="360"/>
        <w:ind w:firstLine="720"/>
        <w:jc w:val="both"/>
        <w:rPr/>
      </w:pPr>
      <w:r>
        <w:rPr/>
        <w:t xml:space="preserve">Here we describe a novel neuronal culture system of templated tau assembly using AAV-mediated expression of full-length human tau isoforms. We demonstrate that brain-derived tau seeds from AD cases drives the robust seeded assembly of tau into neuronal inclusions composed of Alzheimer’s PHFs. This finding suggests that murine primary neurons, unlike SHSY5Y and HEK293 cell lines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(Katsinelos et al. 2025; Tarutani et al. 2023)</w:t>
      </w:r>
      <w:r>
        <w:rPr/>
      </w:r>
      <w:r>
        <w:rPr/>
        <w:fldChar w:fldCharType="end"/>
      </w:r>
      <w:r>
        <w:rPr/>
        <w:t xml:space="preserve">, possess a cellular environment which is compatible with PHF formation. </w:t>
      </w:r>
    </w:p>
    <w:p>
      <w:pPr>
        <w:pStyle w:val="Normal"/>
        <w:spacing w:lineRule="auto" w:line="360"/>
        <w:ind w:firstLine="720"/>
        <w:jc w:val="both"/>
        <w:rPr/>
      </w:pPr>
      <w:r>
        <w:rPr/>
        <w:t xml:space="preserve">One advantage of using AAV-mediated transduction to drive tau expression is its modular versatility, which addresses bottlenecks inherent to transgenic mouse models or iPSC-derived neuronal cell lines. With viral delivery, rather than genomic integration, we can rigorously study various tau constructs in a neuronal setting. For example, by introducing mutations into tau protein, we can study familial mutations in MAPT and mutations which may lead to nucleation dependent aggregation of tau such as the PAD12 phosphomimetic substitutions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(Lovestam et al. 2026)</w:t>
      </w:r>
      <w:r>
        <w:rPr/>
      </w:r>
      <w:r>
        <w:rPr/>
        <w:fldChar w:fldCharType="end"/>
      </w:r>
      <w:r>
        <w:rPr/>
        <w:t xml:space="preserve">.  Experiment such as this will enable us to dissect the requirements for tau aggregation and fold-specific propagation of tau in neurons. </w:t>
      </w:r>
    </w:p>
    <w:p>
      <w:pPr>
        <w:pStyle w:val="Normal"/>
        <w:spacing w:lineRule="auto" w:line="360"/>
        <w:ind w:firstLine="720"/>
        <w:jc w:val="both"/>
        <w:rPr/>
      </w:pPr>
      <w:r>
        <w:rPr/>
        <w:t xml:space="preserve">In this study, we use the familial V337 mutation, which gives rise to tau filaments with the Alzheimer fold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(Qi et al. 2025)</w:t>
      </w:r>
      <w:r>
        <w:rPr/>
      </w:r>
      <w:r>
        <w:rPr/>
        <w:fldChar w:fldCharType="end"/>
      </w:r>
      <w:r>
        <w:rPr/>
        <w:t>, to unambiguously show that we could solve the cryo-EM structure of the seeded tau, rather than the seed itself. By demonstrating that the tau filament structure contained a methionine residue at position 337, rather than a valine residue which is found on the AD seed, we ruled out the possibility that the seed is being re-extracted. At exceedingly high concentrations of seed, we found that it was possible to re-extract the seed. Thus, careful consideration must be applied to the amount of tau seeds used in this system, as re-extraction of the seed could confound downstream cryo-EM analysis.</w:t>
      </w:r>
    </w:p>
    <w:p>
      <w:pPr>
        <w:pStyle w:val="Normal"/>
        <w:spacing w:lineRule="auto" w:line="360"/>
        <w:ind w:firstLine="720"/>
        <w:jc w:val="both"/>
        <w:rPr/>
      </w:pPr>
      <w:r>
        <w:rPr/>
        <w:t xml:space="preserve">The flexibility of this system will also allow for generation of diverse fusion constructs of tau protein. In this paper, we demonstrate the versatility of this neuronal culture system by monitoring tau aggregates over time using the HA-tag and the fluorescent dendra2-tag. In future experiments, appending various effector tags such as HaloTag for single-particle tracking or BioID for proximity labelling will open up studies of the dynamics of tau aggregation in living neurons and of the interactome of distinct structural polymorphs. These tools will be critical for identifying specific chaperones and degradation machinery that may engage with disease-specific folds. </w:t>
      </w:r>
    </w:p>
    <w:p>
      <w:pPr>
        <w:pStyle w:val="Normal"/>
        <w:spacing w:lineRule="auto" w:line="360"/>
        <w:ind w:firstLine="720"/>
        <w:jc w:val="both"/>
        <w:rPr/>
      </w:pPr>
      <w:r>
        <w:rPr/>
        <w:t xml:space="preserve">While the current study utilised the human synapsin-1 (hSyn) neuronal specific promoter, our mixed primary cultures contain robust populations of astrocytes which may similarly by genetically manipulated by AAV transduction. By swapping hSyn for an astrocyte-specific promoter, this platform can be used for studying tauopathies with an astrocytic component, such as CBD and PSP.  The utility of this expression system further extends beyond the study of tau. The same framework can be used to drive the expression of other proteins that assemble in neurodegenerative disease, such as </w:t>
      </w:r>
      <w:r>
        <w:rPr>
          <w:lang w:val="el-GR"/>
        </w:rPr>
        <w:t>α</w:t>
      </w:r>
      <w:r>
        <w:rPr/>
        <w:t>-synuclein or TAF15.</w:t>
      </w:r>
    </w:p>
    <w:p>
      <w:pPr>
        <w:pStyle w:val="Normal"/>
        <w:spacing w:lineRule="auto" w:line="360"/>
        <w:ind w:firstLine="720"/>
        <w:jc w:val="both"/>
        <w:rPr/>
      </w:pPr>
      <w:r>
        <w:rPr/>
        <w:t xml:space="preserve">Certain limitations of AAV-mediated overexpression must also be considered. Although AAV particles are less immunogenic than other viral vectors, high viral titres may still activate an inflammatory response. To mitigate this effect, we utilised viral titre that elicited no overt toxicity to the cultures, as assessed by a resazurin-based cell viability assay. Furthermore, driving high-levels of human tau protein carries the risk of overexpression artifacts. We found that overexpression is necessary for robust seeded aggregation of tau within the time frame of primary neuronal cultures, however lower viral titres may be used to tune expression of tau protein and to mitigate some of the effects of overexpression. We should also note that </w:t>
      </w:r>
      <w:r>
        <w:rPr>
          <w:i/>
          <w:iCs/>
        </w:rPr>
        <w:t>Mapt</w:t>
      </w:r>
      <w:r>
        <w:rPr/>
        <w:t xml:space="preserve"> knock-out cells, rather than wild-type cells, should be used when interference of endogenous mouse tau assemblies may be a concern.</w:t>
      </w:r>
    </w:p>
    <w:p>
      <w:pPr>
        <w:pStyle w:val="Normal"/>
        <w:spacing w:lineRule="auto" w:line="360"/>
        <w:ind w:firstLine="720"/>
        <w:jc w:val="both"/>
        <w:rPr/>
      </w:pPr>
      <w:r>
        <w:rPr/>
        <w:t>We also suggest that this system will provide valuable insights into the early mechanisms of tau toxicity. Although the timeframe of the experiments and the relative immaturity of the neurons will limit our ability to observe an over neurodegenerative phenotype, we observe an interaction between seeded tau aggregates and LAMP1+ lysosomes in these cultures, which may be an early indication of lysosomal dysfunction and which should be explored further.</w:t>
      </w:r>
    </w:p>
    <w:p>
      <w:pPr>
        <w:pStyle w:val="Normal"/>
        <w:spacing w:lineRule="auto" w:line="360"/>
        <w:ind w:firstLine="720"/>
        <w:jc w:val="both"/>
        <w:rPr/>
      </w:pPr>
      <w:r>
        <w:rPr/>
        <w:t xml:space="preserve">Finally, we showed that by expressing either 0N3R or 0N4R isoforms of tau, we can apply this system to study 3R and 4R specific tauopathies. Using STED imaging, we show that tau seeds derived from tauopathies with different structures induce morphologically distinct aggregates in neurons. This suggests a direct link between the underlying conformation of the tau seed and the final macroscopic morphology of the resulting neuronal inclusion. Ultimately, this system will serve as a valuable tool for understanding how tau filament structure may dictate distinct mechanisms of disease pathogenesis. </w:t>
      </w:r>
    </w:p>
    <w:p>
      <w:pPr>
        <w:pStyle w:val="Normal"/>
        <w:spacing w:lineRule="auto" w:line="360"/>
        <w:ind w:left="360" w:hanging="0"/>
        <w:jc w:val="both"/>
        <w:rPr/>
      </w:pPr>
      <w:r>
        <w:rPr/>
      </w:r>
    </w:p>
    <w:p>
      <w:pPr>
        <w:pStyle w:val="Normal"/>
        <w:spacing w:lineRule="auto" w:line="360"/>
        <w:rPr>
          <w:b/>
          <w:b/>
          <w:bCs/>
          <w:i/>
          <w:i/>
          <w:iCs/>
        </w:rPr>
      </w:pPr>
      <w:r>
        <w:rPr>
          <w:b/>
          <w:bCs/>
          <w:i/>
          <w:iCs/>
        </w:rPr>
      </w:r>
      <w:r>
        <w:br w:type="page"/>
      </w:r>
    </w:p>
    <w:p>
      <w:pPr>
        <w:pStyle w:val="Normal"/>
        <w:spacing w:lineRule="auto" w:line="360"/>
        <w:jc w:val="both"/>
        <w:rPr>
          <w:b/>
          <w:b/>
          <w:bCs/>
          <w:i/>
          <w:i/>
          <w:iCs/>
        </w:rPr>
      </w:pPr>
      <w:r>
        <w:rPr>
          <w:b/>
          <w:bCs/>
          <w:i/>
          <w:iCs/>
        </w:rPr>
        <w:t>Methods</w:t>
      </w:r>
    </w:p>
    <w:p>
      <w:pPr>
        <w:pStyle w:val="Normal"/>
        <w:spacing w:lineRule="auto" w:line="360"/>
        <w:jc w:val="both"/>
        <w:rPr>
          <w:rFonts w:cs="Times New Roman"/>
          <w:kern w:val="0"/>
          <w:lang w:val="en-US"/>
        </w:rPr>
      </w:pPr>
      <w:r>
        <w:rPr>
          <w:rFonts w:cs="Times New Roman"/>
          <w:kern w:val="0"/>
          <w:lang w:val="en-US"/>
        </w:rPr>
      </w:r>
    </w:p>
    <w:p>
      <w:pPr>
        <w:pStyle w:val="Normal"/>
        <w:spacing w:lineRule="auto" w:line="360"/>
        <w:jc w:val="both"/>
        <w:rPr>
          <w:rFonts w:cs="Times New Roman"/>
          <w:b/>
          <w:b/>
          <w:bCs/>
          <w:kern w:val="0"/>
          <w:lang w:val="en-US"/>
        </w:rPr>
      </w:pPr>
      <w:r>
        <w:rPr>
          <w:rFonts w:cs="Times New Roman"/>
          <w:b/>
          <w:bCs/>
          <w:kern w:val="0"/>
          <w:lang w:val="en-US"/>
        </w:rPr>
        <w:t xml:space="preserve">Adeno-associated virus (AAV) production </w:t>
      </w:r>
    </w:p>
    <w:p>
      <w:pPr>
        <w:pStyle w:val="Normal"/>
        <w:spacing w:lineRule="auto" w:line="360" w:before="0" w:after="0"/>
        <w:jc w:val="both"/>
        <w:rPr>
          <w:rFonts w:cs="Times New Roman"/>
          <w:kern w:val="0"/>
          <w:lang w:val="en-US"/>
        </w:rPr>
      </w:pPr>
      <w:r>
        <w:rPr>
          <w:rFonts w:cs="Times New Roman"/>
          <w:kern w:val="0"/>
          <w:lang w:val="en-US"/>
        </w:rPr>
        <w:t xml:space="preserve">AAV Pro 293T (Takara, 632273) cells were maintained in Gibco DMEM + Glutamax + 10% FBS + 1% penicillin/streptomycin in a tissue culture incubator at 37°C with 5% CO2. The AAV transfer plasmid was prepared by cloning into pAAV-hSyn-eGFP (Addgene plasmid #50465). AAV was produced by co-transfection with of AAV Pro cells with Rep/Cap plasmid (pAAV2/1 (Addgene #112862), pAAV2/2 (Addgene #104963), or pAAV2/5 (Addgene #104964)) and pAdDeltaF6 Helper plasmid (Addgene #112867). Viral particles were purified by iodixanol gradient centrifugation, as described </w:t>
      </w:r>
      <w:r>
        <w:fldChar w:fldCharType="begin"/>
      </w:r>
      <w:r>
        <w:rPr>
          <w:kern w:val="0"/>
          <w:rFonts w:cs="Times New Roman"/>
          <w:lang w:val="en-US"/>
        </w:rPr>
        <w:instrText>ADDIN EN.CITE &lt;EndNote&gt;&lt;Cite&gt;&lt;Author&gt;Zolotukhin&lt;/Author&gt;&lt;Year&gt;1999&lt;/Year&gt;&lt;RecNum&gt;27&lt;/RecNum&gt;&lt;DisplayText&gt;(Zolotukhin et al. 1999)&lt;/DisplayText&gt;&lt;record&gt;&lt;rec-number&gt;27&lt;/rec-number&gt;&lt;foreign-keys&gt;&lt;key app="EN" db-id="fr2a5af9ftzv2weapfwvxwwnwf0rr90rtsxr" timestamp="1780313815"&gt;27&lt;/key&gt;&lt;/foreign-keys&gt;&lt;ref-type name="Journal Article"&gt;17&lt;/ref-type&gt;&lt;contributors&gt;&lt;authors&gt;&lt;author&gt;Zolotukhin, S.&lt;/author&gt;&lt;author&gt;Byrne, B. J.&lt;/author&gt;&lt;author&gt;Mason, E.&lt;/author&gt;&lt;author&gt;Zolotukhin, I.&lt;/author&gt;&lt;author&gt;Potter, M.&lt;/author&gt;&lt;author&gt;Chesnut, K.&lt;/author&gt;&lt;author&gt;Summerford, C.&lt;/author&gt;&lt;author&gt;Samulski, R. J.&lt;/author&gt;&lt;author&gt;Muzyczka, N.&lt;/author&gt;&lt;/authors&gt;&lt;/contributors&gt;&lt;auth-address&gt;Department of Molecular Genetics and Microbiology, University of Florida, Gainesville, FL 32610, USA.&lt;/auth-address&gt;&lt;titles&gt;&lt;title&gt;Recombinant adeno-associated virus purification using novel methods improves infectious titer and yield&lt;/title&gt;&lt;secondary-title&gt;Gene Ther&lt;/secondary-title&gt;&lt;/titles&gt;&lt;periodical&gt;&lt;full-title&gt;Gene Ther&lt;/full-title&gt;&lt;/periodical&gt;&lt;pages&gt;973-85&lt;/pages&gt;&lt;volume&gt;6&lt;/volume&gt;&lt;number&gt;6&lt;/number&gt;&lt;keywords&gt;&lt;keyword&gt;Blotting, Western&lt;/keyword&gt;&lt;keyword&gt;Centrifugation, Density Gradient/methods&lt;/keyword&gt;&lt;keyword&gt;Chromatography, Affinity/methods&lt;/keyword&gt;&lt;keyword&gt;Chromatography, High Pressure Liquid&lt;/keyword&gt;&lt;keyword&gt;Dependovirus/*isolation &amp;amp; purification&lt;/keyword&gt;&lt;keyword&gt;Genetic Vectors&lt;/keyword&gt;&lt;keyword&gt;Heparin/metabolism&lt;/keyword&gt;&lt;keyword&gt;Humans&lt;/keyword&gt;&lt;keyword&gt;Triiodobenzoic Acids/*metabolism&lt;/keyword&gt;&lt;/keywords&gt;&lt;dates&gt;&lt;year&gt;1999&lt;/year&gt;&lt;pub-dates&gt;&lt;date&gt;Jun&lt;/date&gt;&lt;/pub-dates&gt;&lt;/dates&gt;&lt;isbn&gt;0969-7128 (Print)&amp;#xD;0969-7128 (Linking)&lt;/isbn&gt;&lt;accession-num&gt;10455399&lt;/accession-num&gt;&lt;urls&gt;&lt;related-urls&gt;&lt;url&gt;https://www.ncbi.nlm.nih.gov/pubmed/10455399&lt;/url&gt;&lt;/related-urls&gt;&lt;/urls&gt;&lt;electronic-resource-num&gt;10.1038/sj.gt.3300938&lt;/electronic-resource-num&gt;&lt;remote-database-name&gt;Medline&lt;/remote-database-name&gt;&lt;remote-database-provider&gt;NLM&lt;/remote-database-provider&gt;&lt;/record&gt;&lt;/Cite&gt;&lt;/EndNote&gt;</w:instrText>
      </w:r>
      <w:r>
        <w:rPr>
          <w:rFonts w:cs="Times New Roman"/>
          <w:kern w:val="0"/>
          <w:lang w:val="en-US"/>
        </w:rPr>
      </w:r>
      <w:r>
        <w:rPr>
          <w:kern w:val="0"/>
          <w:rFonts w:cs="Times New Roman"/>
          <w:lang w:val="en-US"/>
        </w:rPr>
        <w:fldChar w:fldCharType="separate"/>
      </w:r>
      <w:r>
        <w:rPr>
          <w:rFonts w:cs="Times New Roman"/>
          <w:kern w:val="0"/>
          <w:lang w:val="en-US"/>
        </w:rPr>
        <w:t>(Zolotukhin et al. 1999)</w:t>
      </w:r>
      <w:r>
        <w:rPr>
          <w:rFonts w:cs="Times New Roman"/>
          <w:kern w:val="0"/>
          <w:lang w:val="en-US"/>
        </w:rPr>
      </w:r>
      <w:r>
        <w:rPr>
          <w:kern w:val="0"/>
          <w:rFonts w:cs="Times New Roman"/>
          <w:lang w:val="en-US"/>
        </w:rPr>
        <w:fldChar w:fldCharType="end"/>
      </w:r>
      <w:r>
        <w:rPr>
          <w:rFonts w:cs="Times New Roman"/>
          <w:kern w:val="0"/>
          <w:lang w:val="en-US"/>
        </w:rPr>
        <w:t xml:space="preserve"> and purity was confirmed with SDS-PAGE and staining with Coomassie InstantBlue. Primary cultures were transduced on DIV0 by adding AAV into fresh maintenance media. The approximate viral titre was determined by qPCR using forward (</w:t>
      </w:r>
      <w:r>
        <w:rPr>
          <w:rFonts w:eastAsia="Aptos" w:cs="Times New Roman" w:eastAsiaTheme="minorHAnsi"/>
          <w:kern w:val="0"/>
          <w:lang w:val="en-US" w:eastAsia="en-US"/>
        </w:rPr>
        <w:t>GGAACCCCTAGTGATGGAGTT)</w:t>
      </w:r>
      <w:r>
        <w:rPr>
          <w:rFonts w:cs="Times New Roman"/>
          <w:kern w:val="0"/>
          <w:lang w:val="en-US"/>
        </w:rPr>
        <w:t>) and reverse (</w:t>
      </w:r>
      <w:r>
        <w:rPr>
          <w:rFonts w:eastAsia="Aptos" w:cs="Times New Roman" w:eastAsiaTheme="minorHAnsi"/>
          <w:kern w:val="0"/>
          <w:lang w:val="en-US" w:eastAsia="en-US"/>
        </w:rPr>
        <w:t>CGGCCTCAGTGAGCGA)</w:t>
      </w:r>
      <w:r>
        <w:rPr>
          <w:rFonts w:cs="Times New Roman"/>
          <w:kern w:val="0"/>
          <w:lang w:val="en-US"/>
        </w:rPr>
        <w:t xml:space="preserve"> primers amplifying regions between the ITRs and the optimal AAV titre for expression with low toxicity was determined experimentally by serial dilutions of the virus onto primary cultures. Expression was quantified by fluorescence or immunofluorescence labeling, and cell viability was evaluated by PrestoBlue (A13261). Fluorescence signal was read on a ClarioSTAR microplate reader (BMG Labtech) and 560/590 nm.</w:t>
      </w:r>
    </w:p>
    <w:p>
      <w:pPr>
        <w:pStyle w:val="Normal"/>
        <w:spacing w:lineRule="auto" w:line="360"/>
        <w:jc w:val="both"/>
        <w:rPr>
          <w:b/>
          <w:b/>
          <w:bCs/>
        </w:rPr>
      </w:pPr>
      <w:r>
        <w:rPr>
          <w:b/>
          <w:bCs/>
        </w:rPr>
      </w:r>
    </w:p>
    <w:p>
      <w:pPr>
        <w:pStyle w:val="Normal"/>
        <w:spacing w:lineRule="auto" w:line="360"/>
        <w:jc w:val="both"/>
        <w:rPr>
          <w:b/>
          <w:b/>
          <w:bCs/>
        </w:rPr>
      </w:pPr>
      <w:r>
        <w:rPr>
          <w:b/>
          <w:bCs/>
        </w:rPr>
        <w:t>Mixed primary cortical cultures</w:t>
      </w:r>
    </w:p>
    <w:p>
      <w:pPr>
        <w:pStyle w:val="Normal"/>
        <w:spacing w:lineRule="auto" w:line="360" w:before="0" w:after="0"/>
        <w:jc w:val="both"/>
        <w:rPr>
          <w:rFonts w:cs="Times New Roman"/>
          <w:kern w:val="0"/>
          <w:lang w:val="en-US"/>
        </w:rPr>
      </w:pPr>
      <w:r>
        <w:rPr>
          <w:rFonts w:cs="Times New Roman"/>
          <w:kern w:val="0"/>
          <w:lang w:val="en-US"/>
        </w:rPr>
        <w:t xml:space="preserve">Mixed primary cortical cultures were prepared according to (Beaudoin et al., 2012). Briefly, hippocampal and cortical tissues from male P0/P1 C57BL/6J mouse pups were sliced into ±8 pieces/brain and trypsinised (0.25%, Gibco) for 20min at 37°C, followed by the addition of 0.1% DNAse I (0.1%, Sigma-Aldrich) for 3 min. Trypsin was inactivated by washing in  plating medium consisting of 10 ml Neurobasal plus + (Thermo Fisher Scientific) 10% horse serum, heat-inactivated Glutamax (Invitrogen). The plating medium was then removed to a volume of 2 ml, before titration with a fire-polished glass pipette (Merck Life Sciences). A 10 ml aliquot of dissociated cells was mixed with trypan blue (Invitrogen) and cell viability and number were counted using a Countess II cell counter slide. Cells were plated according to the number of live cells (96-well plate: 30,000 cells/well; 6-well plate: 600,000-800,000 cells/ well; 8-well chamber: 75,000 cells/well). Cultures were incubated at 37°C for 3-5 h, before the plating medium was removed and fresh medium was added. AAV was added during this media change. </w:t>
      </w:r>
    </w:p>
    <w:p>
      <w:pPr>
        <w:pStyle w:val="Normal"/>
        <w:spacing w:lineRule="auto" w:line="360"/>
        <w:rPr>
          <w:lang w:val="en-US"/>
        </w:rPr>
      </w:pPr>
      <w:r>
        <w:rPr>
          <w:lang w:val="en-US"/>
        </w:rPr>
      </w:r>
    </w:p>
    <w:p>
      <w:pPr>
        <w:pStyle w:val="Normal"/>
        <w:spacing w:lineRule="auto" w:line="360"/>
        <w:rPr>
          <w:b/>
          <w:b/>
          <w:bCs/>
        </w:rPr>
      </w:pPr>
      <w:r>
        <w:rPr>
          <w:b/>
          <w:bCs/>
        </w:rPr>
        <w:t>Immunocytochemistry</w:t>
      </w:r>
    </w:p>
    <w:p>
      <w:pPr>
        <w:pStyle w:val="Normal"/>
        <w:spacing w:lineRule="auto" w:line="360" w:before="0" w:after="0"/>
        <w:jc w:val="both"/>
        <w:rPr>
          <w:rFonts w:cs="Times New Roman"/>
          <w:kern w:val="0"/>
          <w:lang w:val="en-US"/>
        </w:rPr>
      </w:pPr>
      <w:r>
        <w:rPr>
          <w:rFonts w:cs="Times New Roman"/>
          <w:kern w:val="0"/>
          <w:lang w:val="en-US"/>
        </w:rPr>
        <w:t>Primary cells were fixed and permeabilised in 100% cold methanol for 5 min. Methanol was diluted 1:2, three-times, using ice-cold PBS before washing the cells in 100% PBS. Cells were blocked with PBS + 2% BSA and incubated in primary antibody at room temperature for 2 h, or at 4 °C overnight. For expression analyses, cells were fixed at room temperature in 4% Image-iT Paraformaldehyde (Thermo Scientific, I28800) for 10 min. Cells were permeabilised, blocked with PBS + 2% BSA + 0.1% Triton X-100 and incubated in primary antibody in blocking buffer at RT for 2 hours or at 4 °C overnight. Nuclei were stained with DAPI or Hoechst 33342 (Thermo Scientific). The following primary antibodies were used: anti-HT7 (Thermo Fisher, 1:1000), anti-HA-biotin (Roche, 1:500); anti-FLAG (Millipore, 1:500), anti-FLAG (abcam 1:200), AT100 (Invitrogen, 1:500), biotin-AT8 (Invitrogen, 1:500) anti-MAP2 (Abcam, 1:10,000); anti-</w:t>
      </w:r>
      <w:r>
        <w:rPr>
          <w:rFonts w:cs="Times New Roman"/>
          <w:kern w:val="0"/>
          <w:lang w:val="el-GR"/>
        </w:rPr>
        <w:t>β</w:t>
      </w:r>
      <w:r>
        <w:rPr>
          <w:rFonts w:cs="Times New Roman"/>
          <w:kern w:val="0"/>
        </w:rPr>
        <w:t>-III-tubulin (abcam, 1:200);</w:t>
      </w:r>
      <w:r>
        <w:rPr>
          <w:rFonts w:cs="Times New Roman"/>
          <w:kern w:val="0"/>
          <w:lang w:val="en-US"/>
        </w:rPr>
        <w:t xml:space="preserve"> anti-GFAP (Sigma-Aldrich, 1:500), anti-GFAP (abcam, 1:500); anti-Iba-1 (Novus Biological, 1:200). Alexa-fluor conjugated secondary antibodies (405, 488, 594, or 647) or streptavidin were used for labeling (Thermo Fisher, 1:1000).</w:t>
      </w:r>
    </w:p>
    <w:p>
      <w:pPr>
        <w:pStyle w:val="Normal"/>
        <w:spacing w:lineRule="auto" w:line="360" w:before="0" w:after="0"/>
        <w:jc w:val="both"/>
        <w:rPr>
          <w:rFonts w:cs="Times New Roman"/>
          <w:kern w:val="0"/>
          <w:lang w:val="en-US"/>
        </w:rPr>
      </w:pPr>
      <w:r>
        <w:rPr>
          <w:rFonts w:cs="Times New Roman"/>
          <w:kern w:val="0"/>
          <w:lang w:val="en-US"/>
        </w:rPr>
      </w:r>
    </w:p>
    <w:p>
      <w:pPr>
        <w:pStyle w:val="Normal"/>
        <w:spacing w:lineRule="auto" w:line="360" w:before="0" w:after="0"/>
        <w:jc w:val="both"/>
        <w:rPr>
          <w:rFonts w:cs="Times New Roman"/>
          <w:b/>
          <w:b/>
          <w:bCs/>
          <w:kern w:val="0"/>
          <w:lang w:val="en-US"/>
        </w:rPr>
      </w:pPr>
      <w:r>
        <w:rPr>
          <w:rFonts w:cs="Times New Roman"/>
          <w:b/>
          <w:bCs/>
          <w:kern w:val="0"/>
          <w:lang w:val="en-US"/>
        </w:rPr>
        <w:t xml:space="preserve">Light Microscopy </w:t>
      </w:r>
    </w:p>
    <w:p>
      <w:pPr>
        <w:pStyle w:val="Normal"/>
        <w:spacing w:lineRule="auto" w:line="360" w:before="0" w:after="0"/>
        <w:jc w:val="both"/>
        <w:rPr>
          <w:rFonts w:cs="Times New Roman"/>
          <w:kern w:val="0"/>
          <w:lang w:val="en-US"/>
        </w:rPr>
      </w:pPr>
      <w:r>
        <w:rPr>
          <w:rFonts w:cs="Times New Roman"/>
          <w:kern w:val="0"/>
          <w:lang w:val="en-US"/>
        </w:rPr>
        <w:t xml:space="preserve">High content microscopy was performed using a Ti2-E High Content Microscope (Nikon) with a 10X lens. Confocal images were acquired on an Stellaris Lighting Confocal Microscope (Leica) with a 63X lens, Zeiss 900 inverted microscope with a 40X lens, or a W1 Spinning Disk (Nikon), with a 60x lens. An Okolab chamber was used to maintain 37 </w:t>
      </w:r>
      <w:r>
        <w:rPr>
          <w:rFonts w:cs="Times New Roman"/>
          <w:kern w:val="0"/>
        </w:rPr>
        <w:t>°C and 5% CO</w:t>
      </w:r>
      <w:r>
        <w:rPr>
          <w:rFonts w:cs="Times New Roman"/>
          <w:kern w:val="0"/>
          <w:vertAlign w:val="subscript"/>
        </w:rPr>
        <w:t>2</w:t>
      </w:r>
      <w:r>
        <w:rPr>
          <w:rFonts w:cs="Times New Roman"/>
          <w:kern w:val="0"/>
        </w:rPr>
        <w:t xml:space="preserve"> with humidity.</w:t>
      </w:r>
      <w:r>
        <w:rPr>
          <w:rFonts w:cs="Times New Roman"/>
          <w:kern w:val="0"/>
          <w:lang w:val="en-US"/>
        </w:rPr>
        <w:t xml:space="preserve">  Long-term live cell imaging experiments were performed in an IncuCyte S3 Live-Cell (10X) lens, with 37 °C and 5% CO</w:t>
      </w:r>
      <w:r>
        <w:rPr>
          <w:rFonts w:cs="Times New Roman"/>
          <w:kern w:val="0"/>
          <w:vertAlign w:val="subscript"/>
          <w:lang w:val="en-US"/>
        </w:rPr>
        <w:t>2</w:t>
      </w:r>
      <w:r>
        <w:rPr>
          <w:rFonts w:cs="Times New Roman"/>
          <w:kern w:val="0"/>
          <w:lang w:val="en-US"/>
        </w:rPr>
        <w:t xml:space="preserve"> with humidity. </w:t>
      </w:r>
    </w:p>
    <w:p>
      <w:pPr>
        <w:pStyle w:val="Normal"/>
        <w:spacing w:lineRule="auto" w:line="360" w:before="0" w:after="0"/>
        <w:jc w:val="both"/>
        <w:rPr>
          <w:rFonts w:cs="Times New Roman"/>
          <w:kern w:val="0"/>
          <w:lang w:val="en-US"/>
        </w:rPr>
      </w:pPr>
      <w:r>
        <w:rPr>
          <w:rFonts w:cs="Times New Roman"/>
          <w:kern w:val="0"/>
          <w:lang w:val="en-US"/>
        </w:rPr>
      </w:r>
    </w:p>
    <w:p>
      <w:pPr>
        <w:pStyle w:val="Normal"/>
        <w:spacing w:lineRule="auto" w:line="360" w:before="0" w:after="0"/>
        <w:jc w:val="both"/>
        <w:rPr>
          <w:rFonts w:cs="Times New Roman"/>
          <w:kern w:val="0"/>
          <w:lang w:val="en-US"/>
        </w:rPr>
      </w:pPr>
      <w:r>
        <w:rPr>
          <w:rFonts w:cs="Times New Roman"/>
          <w:kern w:val="0"/>
          <w:lang w:val="en-US"/>
        </w:rPr>
        <w:t>Images acquired on a Ti2-E High Content Microscope (Nikon) were analysed using NISElements software (Nikon) for S. Figure 1.</w:t>
      </w:r>
    </w:p>
    <w:p>
      <w:pPr>
        <w:pStyle w:val="Normal"/>
        <w:spacing w:lineRule="auto" w:line="360" w:before="0" w:after="0"/>
        <w:jc w:val="both"/>
        <w:rPr>
          <w:rFonts w:cs="Times New Roman"/>
          <w:kern w:val="0"/>
          <w:lang w:val="en-US"/>
        </w:rPr>
      </w:pPr>
      <w:r>
        <w:rPr>
          <w:rFonts w:cs="Times New Roman"/>
          <w:kern w:val="0"/>
          <w:lang w:val="en-US"/>
        </w:rPr>
      </w:r>
    </w:p>
    <w:p>
      <w:pPr>
        <w:pStyle w:val="Normal"/>
        <w:spacing w:lineRule="auto" w:line="360" w:before="0" w:after="0"/>
        <w:jc w:val="both"/>
        <w:rPr>
          <w:rFonts w:cs="Times New Roman"/>
          <w:kern w:val="0"/>
          <w:lang w:val="en-US"/>
        </w:rPr>
      </w:pPr>
      <w:r>
        <w:rPr>
          <w:rFonts w:cs="Times New Roman"/>
          <w:kern w:val="0"/>
          <w:highlight w:val="yellow"/>
          <w:lang w:val="en-US"/>
        </w:rPr>
        <w:t>STED was performed on a Leica TCS SP8 3X gated microscope with a 100x/1.4NA oil immersion objective. Images were acquired with a 7x digital zoom and 1024x1024 pixel size (16nm/pix). STAR RED and STAR ORANGE secondaries (Abberior, 1:200) were used, with ProlongGold anti-fade mounting medium (Thermo Fisher). STAR RED was used for the labeling of HA-tau aggregates. All primary antibodies were used at a concentration of 1:200.</w:t>
      </w:r>
      <w:r>
        <w:rPr>
          <w:rFonts w:cs="Times New Roman"/>
          <w:kern w:val="0"/>
          <w:lang w:val="en-US"/>
        </w:rPr>
        <w:t xml:space="preserve"> </w:t>
      </w:r>
    </w:p>
    <w:p>
      <w:pPr>
        <w:pStyle w:val="Normal"/>
        <w:spacing w:lineRule="auto" w:line="360" w:before="0" w:after="0"/>
        <w:jc w:val="both"/>
        <w:rPr>
          <w:rFonts w:cs="Times New Roman"/>
          <w:kern w:val="0"/>
          <w:lang w:val="en-US"/>
        </w:rPr>
      </w:pPr>
      <w:r>
        <w:rPr>
          <w:rFonts w:cs="Times New Roman"/>
          <w:kern w:val="0"/>
          <w:lang w:val="en-US"/>
        </w:rPr>
      </w:r>
    </w:p>
    <w:p>
      <w:pPr>
        <w:pStyle w:val="Normal"/>
        <w:spacing w:lineRule="auto" w:line="360"/>
        <w:jc w:val="both"/>
        <w:rPr>
          <w:rFonts w:eastAsia="Arial Unicode MS" w:cs="Times New Roman"/>
          <w:b/>
          <w:b/>
          <w:bCs/>
        </w:rPr>
      </w:pPr>
      <w:r>
        <w:rPr>
          <w:rFonts w:eastAsia="Arial Unicode MS" w:cs="Times New Roman"/>
          <w:b/>
          <w:bCs/>
        </w:rPr>
        <w:t xml:space="preserve">Biochemical and ultrastructural analyses of tau filaments </w:t>
      </w:r>
    </w:p>
    <w:p>
      <w:pPr>
        <w:pStyle w:val="Normal"/>
        <w:spacing w:lineRule="auto" w:line="360" w:before="0" w:after="0"/>
        <w:jc w:val="both"/>
        <w:rPr>
          <w:color w:val="1B1B1B"/>
          <w:shd w:fill="FFFFFF" w:val="clear"/>
        </w:rPr>
      </w:pPr>
      <w:r>
        <w:rPr>
          <w:color w:val="1B1B1B"/>
          <w:shd w:fill="FFFFFF" w:val="clear"/>
        </w:rPr>
        <w:t>Tau filaments extracted from primary cells were diluted 10-fold to 20-fold and deposited on glow-discharged 400-mesh formvar/carbon film-coated copper grids (model CF400-Cu, EM Sciences) for 40 s. Grids were blocked for 10</w:t>
      </w:r>
      <w:r>
        <w:rPr>
          <w:rFonts w:cs="Arial" w:ascii="Arial" w:hAnsi="Arial"/>
          <w:color w:val="1B1B1B"/>
          <w:shd w:fill="FFFFFF" w:val="clear"/>
        </w:rPr>
        <w:t> </w:t>
      </w:r>
      <w:r>
        <w:rPr>
          <w:color w:val="1B1B1B"/>
          <w:shd w:fill="FFFFFF" w:val="clear"/>
        </w:rPr>
        <w:t>min in 0.1% cold water fish skin gelatin in PBS before a 1 h incubation with primary antibodies diluted in blocking buffer. Grids were washed with blocking buffer and incubated with gold-conjugated anti-mouse IgG (catalog #G7652, Sigma-Aldrich) or anti-rabbit (catalog #G7402, Sigma-Aldrich) secondary antibody for 1 h. Following washing, the grids were stained with 4</w:t>
      </w:r>
      <w:r>
        <w:rPr>
          <w:rFonts w:cs="Arial" w:ascii="Arial" w:hAnsi="Arial"/>
          <w:color w:val="1B1B1B"/>
          <w:shd w:fill="FFFFFF" w:val="clear"/>
        </w:rPr>
        <w:t> </w:t>
      </w:r>
      <w:r>
        <w:rPr>
          <w:color w:val="1B1B1B"/>
          <w:shd w:fill="FFFFFF" w:val="clear"/>
        </w:rPr>
        <w:t>μl of 2% uranyl acetate for 90 s. Images were acquired using a transmission electron microscope (Tecnai G2 Spirit) at 120</w:t>
      </w:r>
      <w:r>
        <w:rPr>
          <w:rFonts w:cs="Arial" w:ascii="Arial" w:hAnsi="Arial"/>
          <w:color w:val="1B1B1B"/>
          <w:shd w:fill="FFFFFF" w:val="clear"/>
        </w:rPr>
        <w:t> </w:t>
      </w:r>
      <w:r>
        <w:rPr>
          <w:color w:val="1B1B1B"/>
          <w:shd w:fill="FFFFFF" w:val="clear"/>
        </w:rPr>
        <w:t>kV. The following primary antibodies were used for immun0-EM: anti-HA (Sigma-Aldrich, H3663, 1:50)</w:t>
      </w:r>
    </w:p>
    <w:p>
      <w:pPr>
        <w:pStyle w:val="Normal"/>
        <w:spacing w:lineRule="auto" w:line="360" w:before="0" w:after="0"/>
        <w:jc w:val="both"/>
        <w:rPr>
          <w:rFonts w:cs="Times New Roman"/>
          <w:kern w:val="0"/>
        </w:rPr>
      </w:pPr>
      <w:r>
        <w:rPr>
          <w:rFonts w:cs="Times New Roman"/>
          <w:kern w:val="0"/>
        </w:rPr>
      </w:r>
    </w:p>
    <w:p>
      <w:pPr>
        <w:pStyle w:val="Normal"/>
        <w:spacing w:lineRule="auto" w:line="360"/>
        <w:jc w:val="both"/>
        <w:rPr>
          <w:rFonts w:eastAsia="Arial Unicode MS" w:cs="Times New Roman"/>
          <w:b/>
          <w:b/>
          <w:bCs/>
        </w:rPr>
      </w:pPr>
      <w:r>
        <w:rPr>
          <w:rFonts w:eastAsia="Arial Unicode MS" w:cs="Times New Roman"/>
          <w:b/>
          <w:bCs/>
        </w:rPr>
        <w:t>Sarkosyl-insoluble extraction from brain</w:t>
      </w:r>
    </w:p>
    <w:p>
      <w:pPr>
        <w:pStyle w:val="Normal"/>
        <w:spacing w:lineRule="auto" w:line="360"/>
        <w:jc w:val="both"/>
        <w:rPr>
          <w:rFonts w:eastAsia="Arial Unicode MS" w:cs="Times New Roman"/>
        </w:rPr>
      </w:pPr>
      <w:r>
        <w:rPr>
          <w:rFonts w:eastAsia="Arial Unicode MS" w:cs="Times New Roman"/>
        </w:rPr>
        <w:t>Frozen brain tissue (1.2-2.4g) was homogensied in 10X (v/w) of extraction buffer containing 800mM NaCl, 10mM Tris-HCl pH 7.4, 2.5mM EDTA, 10% sucrose, 2% sarkosyl with Pierce Protease and Phosphatase Inhibitor Mini Tablets (Thermo Scientific A32959). Tissue homogenate was incubated at RT for 1 hour, then centrifuged at 13,000g for 20 minutes at RT. Supernatant was transferred to 1.5mL ultracentrifuge tubes, then spun at 124,500g for 1 hour at RT in a TLA-55 rotor and Beckman Coulter Optima MAX-XP ultracentrifuge. Pellets were combined and resuspended in 1mL of extraction buffer, and re-centrifuged, as before. Pellet(s) was [combined and] resuspended in 1mL 50mM Tris-HCl, 150mM NaCl. Resuspended pellet was re-ultracentrifuged, as before, to wash remaining sarkosyl from the pellet. Resultant pellet was resuspended in 250</w:t>
      </w:r>
      <w:r>
        <w:rPr>
          <w:rFonts w:eastAsia="Arial Unicode MS" w:cs="Times New Roman"/>
          <w:lang w:val="el-GR"/>
        </w:rPr>
        <w:t>μ</w:t>
      </w:r>
      <w:r>
        <w:rPr>
          <w:rFonts w:eastAsia="Arial Unicode MS" w:cs="Times New Roman"/>
        </w:rPr>
        <w:t>L/g starting weight (4mg/</w:t>
      </w:r>
      <w:r>
        <w:rPr>
          <w:rFonts w:eastAsia="Arial Unicode MS" w:cs="Times New Roman"/>
          <w:lang w:val="el-GR"/>
        </w:rPr>
        <w:t>μ</w:t>
      </w:r>
      <w:r>
        <w:rPr>
          <w:rFonts w:eastAsia="Arial Unicode MS" w:cs="Times New Roman"/>
        </w:rPr>
        <w:t>L) and sonicated with a metal probe for 15 seconds. Tau seeds were aliquoted in Protein Lo-Bind Eppendorf tubes and frozen at -20°C until use. Seeds (0.1-8.0mg per cm</w:t>
      </w:r>
      <w:r>
        <w:rPr>
          <w:rFonts w:eastAsia="Arial Unicode MS" w:cs="Times New Roman"/>
          <w:vertAlign w:val="superscript"/>
        </w:rPr>
        <w:t xml:space="preserve">2 </w:t>
      </w:r>
      <w:r>
        <w:rPr>
          <w:rFonts w:eastAsia="Arial Unicode MS" w:cs="Times New Roman"/>
        </w:rPr>
        <w:t xml:space="preserve">of cell culture vessel) were added at DIV03 by diluting into media. The optimal concentration of tau seeds to add was determined experimentally with serial dilutions, and depended on the yield of filaments per brain extract.  </w:t>
      </w:r>
    </w:p>
    <w:p>
      <w:pPr>
        <w:pStyle w:val="Normal"/>
        <w:spacing w:lineRule="auto" w:line="360"/>
        <w:jc w:val="both"/>
        <w:rPr>
          <w:rFonts w:eastAsia="Arial Unicode MS" w:cs="Times New Roman"/>
        </w:rPr>
      </w:pPr>
      <w:r>
        <w:rPr>
          <w:rFonts w:eastAsia="Arial Unicode MS" w:cs="Times New Roman"/>
        </w:rPr>
      </w:r>
    </w:p>
    <w:tbl>
      <w:tblPr>
        <w:tblStyle w:val="TableGrid"/>
        <w:tblW w:w="75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02"/>
        <w:gridCol w:w="1344"/>
        <w:gridCol w:w="1296"/>
        <w:gridCol w:w="652"/>
        <w:gridCol w:w="1094"/>
        <w:gridCol w:w="1799"/>
      </w:tblGrid>
      <w:tr>
        <w:trPr/>
        <w:tc>
          <w:tcPr>
            <w:tcW w:w="140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r>
          </w:p>
        </w:tc>
        <w:tc>
          <w:tcPr>
            <w:tcW w:w="1344" w:type="dxa"/>
            <w:tcBorders/>
          </w:tcPr>
          <w:p>
            <w:pPr>
              <w:pStyle w:val="Normal"/>
              <w:widowControl/>
              <w:spacing w:lineRule="auto" w:line="360" w:before="0" w:after="0"/>
              <w:jc w:val="both"/>
              <w:rPr>
                <w:rFonts w:eastAsia="Arial Unicode MS" w:cs="Times New Roman"/>
                <w:b/>
                <w:b/>
                <w:bCs/>
                <w:highlight w:val="yellow"/>
              </w:rPr>
            </w:pPr>
            <w:r>
              <w:rPr>
                <w:rFonts w:eastAsia="Arial Unicode MS" w:cs="Times New Roman"/>
                <w:b/>
                <w:bCs/>
                <w:kern w:val="2"/>
                <w:sz w:val="24"/>
                <w:szCs w:val="24"/>
                <w:highlight w:val="yellow"/>
                <w:lang w:bidi="ar-SA"/>
              </w:rPr>
              <w:t>Identifier</w:t>
            </w:r>
          </w:p>
        </w:tc>
        <w:tc>
          <w:tcPr>
            <w:tcW w:w="1296"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t>Region</w:t>
            </w:r>
          </w:p>
        </w:tc>
        <w:tc>
          <w:tcPr>
            <w:tcW w:w="65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t>Age</w:t>
            </w:r>
          </w:p>
        </w:tc>
        <w:tc>
          <w:tcPr>
            <w:tcW w:w="1094"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t>Gender</w:t>
            </w:r>
          </w:p>
        </w:tc>
        <w:tc>
          <w:tcPr>
            <w:tcW w:w="1799"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t>Structure</w:t>
            </w:r>
          </w:p>
        </w:tc>
      </w:tr>
      <w:tr>
        <w:trPr/>
        <w:tc>
          <w:tcPr>
            <w:tcW w:w="140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t>AD 1</w:t>
            </w:r>
          </w:p>
        </w:tc>
        <w:tc>
          <w:tcPr>
            <w:tcW w:w="1344" w:type="dxa"/>
            <w:tcBorders/>
          </w:tcPr>
          <w:p>
            <w:pPr>
              <w:pStyle w:val="Normal"/>
              <w:widowControl/>
              <w:spacing w:lineRule="auto" w:line="360" w:before="0" w:after="0"/>
              <w:jc w:val="both"/>
              <w:rPr>
                <w:rFonts w:eastAsia="Arial Unicode MS" w:cs="Times New Roman"/>
                <w:highlight w:val="yellow"/>
              </w:rPr>
            </w:pPr>
            <w:r>
              <w:rPr>
                <w:rFonts w:eastAsia="Arial Unicode MS" w:cs="Times New Roman"/>
                <w:kern w:val="2"/>
                <w:sz w:val="24"/>
                <w:szCs w:val="24"/>
                <w:highlight w:val="yellow"/>
                <w:lang w:bidi="ar-SA"/>
              </w:rPr>
              <w:t>NP49/15</w:t>
            </w:r>
          </w:p>
        </w:tc>
        <w:tc>
          <w:tcPr>
            <w:tcW w:w="1296"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Frontal ctx</w:t>
            </w:r>
          </w:p>
        </w:tc>
        <w:tc>
          <w:tcPr>
            <w:tcW w:w="652"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81</w:t>
            </w:r>
          </w:p>
        </w:tc>
        <w:tc>
          <w:tcPr>
            <w:tcW w:w="1094"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Female</w:t>
            </w:r>
          </w:p>
        </w:tc>
        <w:tc>
          <w:tcPr>
            <w:tcW w:w="1799"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This paper</w:t>
            </w:r>
          </w:p>
        </w:tc>
      </w:tr>
      <w:tr>
        <w:trPr/>
        <w:tc>
          <w:tcPr>
            <w:tcW w:w="140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t xml:space="preserve">AD 2 </w:t>
            </w:r>
          </w:p>
        </w:tc>
        <w:tc>
          <w:tcPr>
            <w:tcW w:w="1344" w:type="dxa"/>
            <w:tcBorders/>
          </w:tcPr>
          <w:p>
            <w:pPr>
              <w:pStyle w:val="Normal"/>
              <w:widowControl/>
              <w:spacing w:lineRule="auto" w:line="360" w:before="0" w:after="0"/>
              <w:jc w:val="both"/>
              <w:rPr>
                <w:rFonts w:eastAsia="Arial Unicode MS" w:cs="Times New Roman"/>
                <w:highlight w:val="yellow"/>
              </w:rPr>
            </w:pPr>
            <w:r>
              <w:rPr>
                <w:rFonts w:eastAsia="Arial Unicode MS" w:cs="Times New Roman"/>
                <w:kern w:val="2"/>
                <w:sz w:val="24"/>
                <w:szCs w:val="24"/>
                <w:highlight w:val="yellow"/>
                <w:lang w:bidi="ar-SA"/>
              </w:rPr>
              <w:t>2022-014</w:t>
            </w:r>
          </w:p>
        </w:tc>
        <w:tc>
          <w:tcPr>
            <w:tcW w:w="1296"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Frontal ctx</w:t>
            </w:r>
          </w:p>
        </w:tc>
        <w:tc>
          <w:tcPr>
            <w:tcW w:w="652"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87</w:t>
            </w:r>
          </w:p>
        </w:tc>
        <w:tc>
          <w:tcPr>
            <w:tcW w:w="1094"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r>
          </w:p>
        </w:tc>
        <w:tc>
          <w:tcPr>
            <w:tcW w:w="1799"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This paper</w:t>
            </w:r>
          </w:p>
        </w:tc>
      </w:tr>
      <w:tr>
        <w:trPr/>
        <w:tc>
          <w:tcPr>
            <w:tcW w:w="140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t>PID (</w:t>
            </w:r>
            <w:r>
              <w:rPr>
                <w:rFonts w:eastAsia="Arial Unicode MS" w:cs="Times New Roman"/>
                <w:b/>
                <w:bCs/>
                <w:kern w:val="2"/>
                <w:sz w:val="24"/>
                <w:szCs w:val="24"/>
                <w:lang w:val="el-GR" w:bidi="ar-SA"/>
              </w:rPr>
              <w:t>Δ</w:t>
            </w:r>
            <w:r>
              <w:rPr>
                <w:rFonts w:eastAsia="Arial Unicode MS" w:cs="Times New Roman"/>
                <w:b/>
                <w:bCs/>
                <w:kern w:val="2"/>
                <w:sz w:val="24"/>
                <w:szCs w:val="24"/>
                <w:lang w:bidi="ar-SA"/>
              </w:rPr>
              <w:t>K281) 1</w:t>
            </w:r>
          </w:p>
        </w:tc>
        <w:tc>
          <w:tcPr>
            <w:tcW w:w="1344" w:type="dxa"/>
            <w:tcBorders/>
          </w:tcPr>
          <w:p>
            <w:pPr>
              <w:pStyle w:val="Normal"/>
              <w:widowControl/>
              <w:spacing w:lineRule="auto" w:line="360" w:before="0" w:after="0"/>
              <w:jc w:val="both"/>
              <w:rPr>
                <w:rFonts w:eastAsia="Arial Unicode MS" w:cs="Times New Roman"/>
                <w:highlight w:val="yellow"/>
              </w:rPr>
            </w:pPr>
            <w:r>
              <w:rPr>
                <w:rFonts w:eastAsia="Arial Unicode MS" w:cs="Times New Roman"/>
                <w:kern w:val="2"/>
                <w:sz w:val="24"/>
                <w:szCs w:val="24"/>
                <w:highlight w:val="yellow"/>
                <w:lang w:bidi="ar-SA"/>
              </w:rPr>
              <w:t>2012-035</w:t>
            </w:r>
          </w:p>
        </w:tc>
        <w:tc>
          <w:tcPr>
            <w:tcW w:w="1296"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Frontal ctx</w:t>
            </w:r>
          </w:p>
        </w:tc>
        <w:tc>
          <w:tcPr>
            <w:tcW w:w="65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r>
          </w:p>
        </w:tc>
        <w:tc>
          <w:tcPr>
            <w:tcW w:w="1094"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r>
          </w:p>
        </w:tc>
        <w:tc>
          <w:tcPr>
            <w:tcW w:w="1799"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Schweighauser et al., 2023</w:t>
            </w:r>
          </w:p>
        </w:tc>
      </w:tr>
      <w:tr>
        <w:trPr/>
        <w:tc>
          <w:tcPr>
            <w:tcW w:w="140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t>PID (</w:t>
            </w:r>
            <w:r>
              <w:rPr>
                <w:rFonts w:eastAsia="Arial Unicode MS" w:cs="Times New Roman"/>
                <w:b/>
                <w:bCs/>
                <w:kern w:val="2"/>
                <w:sz w:val="24"/>
                <w:szCs w:val="24"/>
                <w:lang w:val="el-GR" w:bidi="ar-SA"/>
              </w:rPr>
              <w:t>Δ</w:t>
            </w:r>
            <w:r>
              <w:rPr>
                <w:rFonts w:eastAsia="Arial Unicode MS" w:cs="Times New Roman"/>
                <w:b/>
                <w:bCs/>
                <w:kern w:val="2"/>
                <w:sz w:val="24"/>
                <w:szCs w:val="24"/>
                <w:lang w:bidi="ar-SA"/>
              </w:rPr>
              <w:t>K281) 2</w:t>
            </w:r>
          </w:p>
        </w:tc>
        <w:tc>
          <w:tcPr>
            <w:tcW w:w="1344" w:type="dxa"/>
            <w:tcBorders/>
          </w:tcPr>
          <w:p>
            <w:pPr>
              <w:pStyle w:val="Normal"/>
              <w:widowControl/>
              <w:spacing w:lineRule="auto" w:line="360" w:before="0" w:after="0"/>
              <w:jc w:val="both"/>
              <w:rPr>
                <w:rFonts w:eastAsia="Arial Unicode MS" w:cs="Times New Roman"/>
                <w:highlight w:val="yellow"/>
              </w:rPr>
            </w:pPr>
            <w:r>
              <w:rPr>
                <w:rFonts w:eastAsia="Arial Unicode MS" w:cs="Times New Roman"/>
                <w:kern w:val="2"/>
                <w:sz w:val="24"/>
                <w:szCs w:val="24"/>
                <w:highlight w:val="yellow"/>
                <w:lang w:bidi="ar-SA"/>
              </w:rPr>
              <w:t>2017-024</w:t>
            </w:r>
          </w:p>
        </w:tc>
        <w:tc>
          <w:tcPr>
            <w:tcW w:w="1296"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Frontal ctx</w:t>
            </w:r>
          </w:p>
        </w:tc>
        <w:tc>
          <w:tcPr>
            <w:tcW w:w="65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r>
          </w:p>
        </w:tc>
        <w:tc>
          <w:tcPr>
            <w:tcW w:w="1094"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r>
          </w:p>
        </w:tc>
        <w:tc>
          <w:tcPr>
            <w:tcW w:w="1799"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Schweighauser et al., 2023</w:t>
            </w:r>
          </w:p>
        </w:tc>
      </w:tr>
      <w:tr>
        <w:trPr/>
        <w:tc>
          <w:tcPr>
            <w:tcW w:w="140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t>CBD 1</w:t>
            </w:r>
          </w:p>
        </w:tc>
        <w:tc>
          <w:tcPr>
            <w:tcW w:w="1344" w:type="dxa"/>
            <w:tcBorders/>
          </w:tcPr>
          <w:p>
            <w:pPr>
              <w:pStyle w:val="Normal"/>
              <w:widowControl/>
              <w:spacing w:lineRule="auto" w:line="360" w:before="0" w:after="0"/>
              <w:jc w:val="both"/>
              <w:rPr>
                <w:rFonts w:eastAsia="Arial Unicode MS" w:cs="Times New Roman"/>
                <w:highlight w:val="yellow"/>
              </w:rPr>
            </w:pPr>
            <w:r>
              <w:rPr>
                <w:rFonts w:eastAsia="Arial Unicode MS" w:cs="Times New Roman"/>
                <w:kern w:val="2"/>
                <w:sz w:val="24"/>
                <w:szCs w:val="24"/>
                <w:highlight w:val="yellow"/>
                <w:lang w:bidi="ar-SA"/>
              </w:rPr>
              <w:t>2014-029</w:t>
            </w:r>
          </w:p>
        </w:tc>
        <w:tc>
          <w:tcPr>
            <w:tcW w:w="1296" w:type="dxa"/>
            <w:tcBorders/>
          </w:tcPr>
          <w:p>
            <w:pPr>
              <w:pStyle w:val="Normal"/>
              <w:widowControl/>
              <w:spacing w:lineRule="auto" w:line="360" w:before="0" w:after="0"/>
              <w:jc w:val="both"/>
              <w:rPr>
                <w:rFonts w:eastAsia="Arial Unicode MS" w:cs="Times New Roman"/>
                <w:highlight w:val="yellow"/>
              </w:rPr>
            </w:pPr>
            <w:r>
              <w:rPr>
                <w:rFonts w:eastAsia="Arial Unicode MS" w:cs="Times New Roman"/>
                <w:kern w:val="2"/>
                <w:sz w:val="24"/>
                <w:szCs w:val="24"/>
                <w:highlight w:val="yellow"/>
                <w:lang w:bidi="ar-SA"/>
              </w:rPr>
              <w:t>“</w:t>
            </w:r>
            <w:r>
              <w:rPr>
                <w:rFonts w:eastAsia="Arial Unicode MS" w:cs="Times New Roman"/>
                <w:kern w:val="2"/>
                <w:sz w:val="24"/>
                <w:szCs w:val="24"/>
                <w:highlight w:val="yellow"/>
                <w:lang w:bidi="ar-SA"/>
              </w:rPr>
              <w:t>bag 10”</w:t>
            </w:r>
          </w:p>
        </w:tc>
        <w:tc>
          <w:tcPr>
            <w:tcW w:w="65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r>
          </w:p>
        </w:tc>
        <w:tc>
          <w:tcPr>
            <w:tcW w:w="1094"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r>
          </w:p>
        </w:tc>
        <w:tc>
          <w:tcPr>
            <w:tcW w:w="1799"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Zhang et al., 2020</w:t>
            </w:r>
          </w:p>
        </w:tc>
      </w:tr>
      <w:tr>
        <w:trPr/>
        <w:tc>
          <w:tcPr>
            <w:tcW w:w="140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t>CBD 2</w:t>
            </w:r>
          </w:p>
        </w:tc>
        <w:tc>
          <w:tcPr>
            <w:tcW w:w="1344" w:type="dxa"/>
            <w:tcBorders/>
          </w:tcPr>
          <w:p>
            <w:pPr>
              <w:pStyle w:val="Normal"/>
              <w:widowControl/>
              <w:spacing w:lineRule="auto" w:line="360" w:before="0" w:after="0"/>
              <w:jc w:val="both"/>
              <w:rPr>
                <w:rFonts w:eastAsia="Arial Unicode MS" w:cs="Times New Roman"/>
                <w:highlight w:val="yellow"/>
              </w:rPr>
            </w:pPr>
            <w:r>
              <w:rPr>
                <w:rFonts w:eastAsia="Arial Unicode MS" w:cs="Times New Roman"/>
                <w:kern w:val="2"/>
                <w:sz w:val="24"/>
                <w:szCs w:val="24"/>
                <w:highlight w:val="yellow"/>
                <w:lang w:bidi="ar-SA"/>
              </w:rPr>
              <w:t>2006-048</w:t>
            </w:r>
          </w:p>
        </w:tc>
        <w:tc>
          <w:tcPr>
            <w:tcW w:w="1296"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Parietal ctx</w:t>
            </w:r>
          </w:p>
        </w:tc>
        <w:tc>
          <w:tcPr>
            <w:tcW w:w="65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r>
          </w:p>
        </w:tc>
        <w:tc>
          <w:tcPr>
            <w:tcW w:w="1094"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r>
          </w:p>
        </w:tc>
        <w:tc>
          <w:tcPr>
            <w:tcW w:w="1799"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Zhang et al., 2020</w:t>
            </w:r>
          </w:p>
        </w:tc>
      </w:tr>
      <w:tr>
        <w:trPr/>
        <w:tc>
          <w:tcPr>
            <w:tcW w:w="140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t>PSP 1</w:t>
            </w:r>
          </w:p>
        </w:tc>
        <w:tc>
          <w:tcPr>
            <w:tcW w:w="1344" w:type="dxa"/>
            <w:tcBorders/>
          </w:tcPr>
          <w:p>
            <w:pPr>
              <w:pStyle w:val="Normal"/>
              <w:widowControl/>
              <w:spacing w:lineRule="auto" w:line="360" w:before="0" w:after="0"/>
              <w:jc w:val="both"/>
              <w:rPr>
                <w:rFonts w:eastAsia="Arial Unicode MS" w:cs="Times New Roman"/>
                <w:highlight w:val="yellow"/>
              </w:rPr>
            </w:pPr>
            <w:r>
              <w:rPr>
                <w:rFonts w:eastAsia="Arial Unicode MS" w:cs="Times New Roman"/>
                <w:kern w:val="2"/>
                <w:sz w:val="24"/>
                <w:szCs w:val="24"/>
                <w:highlight w:val="yellow"/>
                <w:lang w:bidi="ar-SA"/>
              </w:rPr>
              <w:t>2003-019</w:t>
            </w:r>
          </w:p>
        </w:tc>
        <w:tc>
          <w:tcPr>
            <w:tcW w:w="1296"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highlight w:val="yellow"/>
                <w:lang w:bidi="ar-SA"/>
              </w:rPr>
              <w:t>“</w:t>
            </w:r>
            <w:r>
              <w:rPr>
                <w:rFonts w:eastAsia="Arial Unicode MS" w:cs="Times New Roman"/>
                <w:kern w:val="2"/>
                <w:sz w:val="24"/>
                <w:szCs w:val="24"/>
                <w:highlight w:val="yellow"/>
                <w:lang w:bidi="ar-SA"/>
              </w:rPr>
              <w:t>bag 9”</w:t>
            </w:r>
          </w:p>
        </w:tc>
        <w:tc>
          <w:tcPr>
            <w:tcW w:w="65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r>
          </w:p>
        </w:tc>
        <w:tc>
          <w:tcPr>
            <w:tcW w:w="1094"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r>
          </w:p>
        </w:tc>
        <w:tc>
          <w:tcPr>
            <w:tcW w:w="1799"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Shi et al., 2021</w:t>
            </w:r>
          </w:p>
        </w:tc>
      </w:tr>
      <w:tr>
        <w:trPr/>
        <w:tc>
          <w:tcPr>
            <w:tcW w:w="140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t>PSP 2</w:t>
            </w:r>
          </w:p>
        </w:tc>
        <w:tc>
          <w:tcPr>
            <w:tcW w:w="1344" w:type="dxa"/>
            <w:tcBorders/>
          </w:tcPr>
          <w:p>
            <w:pPr>
              <w:pStyle w:val="Normal"/>
              <w:widowControl/>
              <w:spacing w:lineRule="auto" w:line="360" w:before="0" w:after="0"/>
              <w:jc w:val="both"/>
              <w:rPr>
                <w:rFonts w:eastAsia="Arial Unicode MS" w:cs="Times New Roman"/>
                <w:highlight w:val="yellow"/>
              </w:rPr>
            </w:pPr>
            <w:r>
              <w:rPr>
                <w:rFonts w:eastAsia="Arial Unicode MS" w:cs="Times New Roman"/>
                <w:kern w:val="2"/>
                <w:sz w:val="24"/>
                <w:szCs w:val="24"/>
                <w:highlight w:val="yellow"/>
                <w:lang w:bidi="ar-SA"/>
              </w:rPr>
              <w:t>2012-035</w:t>
            </w:r>
          </w:p>
        </w:tc>
        <w:tc>
          <w:tcPr>
            <w:tcW w:w="1296"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Frontal ctx</w:t>
            </w:r>
          </w:p>
        </w:tc>
        <w:tc>
          <w:tcPr>
            <w:tcW w:w="652"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r>
          </w:p>
        </w:tc>
        <w:tc>
          <w:tcPr>
            <w:tcW w:w="1094" w:type="dxa"/>
            <w:tcBorders/>
          </w:tcPr>
          <w:p>
            <w:pPr>
              <w:pStyle w:val="Normal"/>
              <w:widowControl/>
              <w:spacing w:lineRule="auto" w:line="360" w:before="0" w:after="0"/>
              <w:jc w:val="both"/>
              <w:rPr>
                <w:rFonts w:eastAsia="Arial Unicode MS" w:cs="Times New Roman"/>
                <w:b/>
                <w:b/>
                <w:bCs/>
              </w:rPr>
            </w:pPr>
            <w:r>
              <w:rPr>
                <w:rFonts w:eastAsia="Arial Unicode MS" w:cs="Times New Roman"/>
                <w:b/>
                <w:bCs/>
                <w:kern w:val="2"/>
                <w:sz w:val="24"/>
                <w:szCs w:val="24"/>
                <w:lang w:bidi="ar-SA"/>
              </w:rPr>
            </w:r>
          </w:p>
        </w:tc>
        <w:tc>
          <w:tcPr>
            <w:tcW w:w="1799" w:type="dxa"/>
            <w:tcBorders/>
          </w:tcPr>
          <w:p>
            <w:pPr>
              <w:pStyle w:val="Normal"/>
              <w:widowControl/>
              <w:spacing w:lineRule="auto" w:line="360" w:before="0" w:after="0"/>
              <w:jc w:val="both"/>
              <w:rPr>
                <w:rFonts w:eastAsia="Arial Unicode MS" w:cs="Times New Roman"/>
              </w:rPr>
            </w:pPr>
            <w:r>
              <w:rPr>
                <w:rFonts w:eastAsia="Arial Unicode MS" w:cs="Times New Roman"/>
                <w:kern w:val="2"/>
                <w:sz w:val="24"/>
                <w:szCs w:val="24"/>
                <w:lang w:bidi="ar-SA"/>
              </w:rPr>
              <w:t>Shi et al., 2021</w:t>
            </w:r>
          </w:p>
        </w:tc>
      </w:tr>
    </w:tbl>
    <w:p>
      <w:pPr>
        <w:pStyle w:val="Normal"/>
        <w:spacing w:lineRule="auto" w:line="360" w:before="0" w:after="0"/>
        <w:jc w:val="both"/>
        <w:rPr>
          <w:rFonts w:cs="Times New Roman"/>
          <w:kern w:val="0"/>
        </w:rPr>
      </w:pPr>
      <w:r>
        <w:rPr>
          <w:rFonts w:cs="Times New Roman"/>
          <w:kern w:val="0"/>
        </w:rPr>
      </w:r>
    </w:p>
    <w:p>
      <w:pPr>
        <w:pStyle w:val="Normal"/>
        <w:spacing w:lineRule="auto" w:line="360" w:before="0" w:after="0"/>
        <w:jc w:val="both"/>
        <w:rPr>
          <w:rFonts w:cs="Times New Roman"/>
          <w:b/>
          <w:b/>
          <w:bCs/>
          <w:kern w:val="0"/>
          <w:lang w:val="en-US"/>
        </w:rPr>
      </w:pPr>
      <w:r>
        <w:rPr>
          <w:rFonts w:cs="Times New Roman"/>
          <w:b/>
          <w:bCs/>
          <w:kern w:val="0"/>
          <w:lang w:val="en-US"/>
        </w:rPr>
        <w:t xml:space="preserve">Sarkosyl-insoluble extraction from seeded cells </w:t>
      </w:r>
    </w:p>
    <w:p>
      <w:pPr>
        <w:pStyle w:val="Normal"/>
        <w:spacing w:lineRule="auto" w:line="360" w:before="0" w:after="0"/>
        <w:jc w:val="both"/>
        <w:rPr>
          <w:rFonts w:cs="Times New Roman"/>
          <w:kern w:val="0"/>
          <w:lang w:val="en-US"/>
        </w:rPr>
      </w:pPr>
      <w:r>
        <w:rPr>
          <w:rFonts w:cs="Times New Roman"/>
          <w:kern w:val="0"/>
          <w:lang w:val="en-US"/>
        </w:rPr>
        <w:t xml:space="preserve">Media was removed from the cells by aspiration, and the cell were washed 2X with PBS. Cells were lysed in 250 μL / well of a 6-well plate in cell extraction buffer (800mM NaCl, 10 mM Tris-HCl pH 7.4, 2.5 mM EDTA, 15% sucrose, 1% sarkosyl + Protease and Phosphatase inhibitor tablets (Pierce)) and collected by pipetting up and down. Cells were further lysed by sonication with a metal probe sonicator, before incubating at 37 °C for 30 minutes with shaking (400 RPM). Lysate was cleared at 5000 g for 5 minutes, before spinning the supernatant at 124,500 g for 1 hour at RT in a TLA-55 rotor. Pellets were washed 2x in TBS (150 mM NaCl, 50 mM Tris HCl pH 7.4) before resuspending in the final volume of TBS (5 μL per well of a 6-well plate). </w:t>
      </w:r>
    </w:p>
    <w:p>
      <w:pPr>
        <w:pStyle w:val="Normal"/>
        <w:spacing w:lineRule="auto" w:line="360"/>
        <w:rPr>
          <w:b/>
          <w:b/>
          <w:bCs/>
          <w:lang w:val="en-US"/>
        </w:rPr>
      </w:pPr>
      <w:r>
        <w:rPr>
          <w:b/>
          <w:bCs/>
          <w:lang w:val="en-US"/>
        </w:rPr>
      </w:r>
    </w:p>
    <w:p>
      <w:pPr>
        <w:pStyle w:val="Normal"/>
        <w:spacing w:lineRule="auto" w:line="360"/>
        <w:rPr>
          <w:b/>
          <w:b/>
          <w:bCs/>
        </w:rPr>
      </w:pPr>
      <w:r>
        <w:rPr>
          <w:b/>
          <w:bCs/>
        </w:rPr>
        <w:t>Electron cryo-microscopy</w:t>
      </w:r>
    </w:p>
    <w:p>
      <w:pPr>
        <w:pStyle w:val="Normal"/>
        <w:spacing w:lineRule="auto" w:line="360"/>
        <w:rPr/>
      </w:pPr>
      <w:r>
        <w:rPr/>
        <w:t>Sarkosyl-insoluble extracts for cryoEM analysis were prepared from roughly 2.1*10^6 cells. The equivalent extract from ±0.4*10^6 cells was applied to glow-discharged holey carbon grids (Quantifoil Au R1.2/1.3, 400 mesh) and plunge-frozen in liquid ethane using Vitrobot Mark IV (Thermo Fisher Scientific) at 95% humidity and 4°C. Cryo-EM images were acquired on a Titan Krios electron microscopy operated at 300 kV with a Falcon4i direct electron detector (Thermo Fisher Scientific) and a Selectris-X energy filter. Images were recorded at a dose of 40 e</w:t>
      </w:r>
      <w:r>
        <w:rPr>
          <w:vertAlign w:val="superscript"/>
        </w:rPr>
        <w:t>-</w:t>
      </w:r>
      <w:r>
        <w:rPr/>
        <w:t>/A</w:t>
      </w:r>
      <w:r>
        <w:rPr>
          <w:vertAlign w:val="superscript"/>
        </w:rPr>
        <w:t>2</w:t>
      </w:r>
      <w:r>
        <w:rPr/>
        <w:t xml:space="preserve"> using EPI software (Thermo Fisher Scientific). </w:t>
      </w:r>
    </w:p>
    <w:p>
      <w:pPr>
        <w:pStyle w:val="Normal"/>
        <w:spacing w:lineRule="auto" w:line="360"/>
        <w:rPr/>
      </w:pPr>
      <w:r>
        <w:rPr/>
      </w:r>
    </w:p>
    <w:p>
      <w:pPr>
        <w:pStyle w:val="Normal"/>
        <w:spacing w:lineRule="auto" w:line="360"/>
        <w:rPr>
          <w:b/>
          <w:b/>
          <w:bCs/>
          <w:highlight w:val="yellow"/>
        </w:rPr>
      </w:pPr>
      <w:r>
        <w:rPr>
          <w:b/>
          <w:bCs/>
          <w:highlight w:val="yellow"/>
        </w:rPr>
        <w:t>Cryo-EM image processing</w:t>
      </w:r>
    </w:p>
    <w:p>
      <w:pPr>
        <w:pStyle w:val="Normal"/>
        <w:spacing w:lineRule="auto" w:line="360"/>
        <w:rPr>
          <w:highlight w:val="yellow"/>
        </w:rPr>
      </w:pPr>
      <w:r>
        <w:rPr>
          <w:highlight w:val="yellow"/>
        </w:rPr>
        <w:t xml:space="preserve">Datasets were processed in RELION using amyloid helical reconstruction (). Movie frames were gain-corrected, aligned, and dose-weighted using RELION’s implementation of the motion correction program (). Contrast transfer function (CTF) parameters were estimated using CTFFIND-4.1 ().  Filaments were picked manually </w:t>
      </w:r>
    </w:p>
    <w:p>
      <w:pPr>
        <w:pStyle w:val="Normal"/>
        <w:spacing w:lineRule="auto" w:line="360"/>
        <w:rPr>
          <w:highlight w:val="yellow"/>
        </w:rPr>
      </w:pPr>
      <w:r>
        <w:rPr>
          <w:highlight w:val="yellow"/>
        </w:rPr>
      </w:r>
    </w:p>
    <w:p>
      <w:pPr>
        <w:pStyle w:val="Normal"/>
        <w:spacing w:lineRule="auto" w:line="360"/>
        <w:rPr/>
      </w:pPr>
      <w:r>
        <w:rPr>
          <w:b/>
          <w:bCs/>
          <w:highlight w:val="yellow"/>
        </w:rPr>
        <w:t>STED image analysis</w:t>
      </w:r>
    </w:p>
    <w:p>
      <w:pPr>
        <w:pStyle w:val="Normal"/>
        <w:spacing w:lineRule="auto" w:line="360"/>
        <w:rPr>
          <w:b/>
          <w:b/>
          <w:bCs/>
        </w:rPr>
      </w:pPr>
      <w:r>
        <w:rPr>
          <w:b/>
          <w:bCs/>
        </w:rPr>
      </w:r>
      <w:r>
        <w:br w:type="page"/>
      </w:r>
    </w:p>
    <w:p>
      <w:pPr>
        <w:pStyle w:val="Normal"/>
        <w:spacing w:lineRule="auto" w:line="360"/>
        <w:rPr>
          <w:b/>
          <w:b/>
          <w:bCs/>
        </w:rPr>
      </w:pPr>
      <w:r>
        <w:rPr>
          <w:b/>
          <w:bCs/>
        </w:rPr>
        <w:t>References</w:t>
      </w:r>
    </w:p>
    <w:p>
      <w:pPr>
        <w:pStyle w:val="EndNoteBibliography"/>
        <w:spacing w:lineRule="auto" w:line="360" w:before="0" w:after="0"/>
        <w:ind w:left="720" w:hanging="720"/>
        <w:rPr/>
      </w:pPr>
      <w:r>
        <w:fldChar w:fldCharType="begin"/>
      </w:r>
      <w:r>
        <w:rPr/>
        <w:instrText>ADDIN EN.REFLIST</w:instrText>
      </w:r>
      <w:r>
        <w:rPr/>
      </w:r>
      <w:r>
        <w:rPr/>
        <w:fldChar w:fldCharType="separate"/>
      </w:r>
      <w:r>
        <w:rPr/>
      </w:r>
      <w:r>
        <w:rPr/>
        <w:t xml:space="preserve">Benda, A., H. Aitken, D. S. Davies, R. Whan, and C. Goldsbury. 2016. "STED imaging of tau filaments in Alzheimer's disease cortical grey matter."  </w:t>
      </w:r>
      <w:r>
        <w:rPr>
          <w:i/>
        </w:rPr>
        <w:t>J Struct Biol</w:t>
      </w:r>
      <w:r>
        <w:rPr/>
        <w:t xml:space="preserve"> 195 (3):345-352. doi: 10.1016/j.jsb.2016.07.003.</w:t>
      </w:r>
    </w:p>
    <w:p>
      <w:pPr>
        <w:pStyle w:val="EndNoteBibliography"/>
        <w:spacing w:lineRule="auto" w:line="360" w:before="0" w:after="0"/>
        <w:ind w:left="720" w:hanging="720"/>
        <w:rPr/>
      </w:pPr>
      <w:r>
        <w:rPr/>
        <w:t xml:space="preserve">Boluda, S., M. Iba, B. Zhang, K. M. Raible, V. M. Lee, and J. Q. Trojanowski. 2015. "Differential induction and spread of tau pathology in young PS19 tau transgenic mice following intracerebral injections of pathological tau from Alzheimer's disease or corticobasal degeneration brains."  </w:t>
      </w:r>
      <w:r>
        <w:rPr>
          <w:i/>
        </w:rPr>
        <w:t>Acta Neuropathol</w:t>
      </w:r>
      <w:r>
        <w:rPr/>
        <w:t xml:space="preserve"> 129 (2):221-37. doi: 10.1007/s00401-014-1373-0.</w:t>
      </w:r>
    </w:p>
    <w:p>
      <w:pPr>
        <w:pStyle w:val="EndNoteBibliography"/>
        <w:spacing w:lineRule="auto" w:line="360" w:before="0" w:after="0"/>
        <w:ind w:left="720" w:hanging="720"/>
        <w:rPr/>
      </w:pPr>
      <w:r>
        <w:rPr/>
        <w:t xml:space="preserve">Braak, H., and E. Braak. 1991. "Alzheimer's disease affects limbic nuclei of the thalamus."  </w:t>
      </w:r>
      <w:r>
        <w:rPr>
          <w:i/>
        </w:rPr>
        <w:t>Acta Neuropathol</w:t>
      </w:r>
      <w:r>
        <w:rPr/>
        <w:t xml:space="preserve"> 81 (3):261-8. doi: 10.1007/BF00305867.</w:t>
      </w:r>
    </w:p>
    <w:p>
      <w:pPr>
        <w:pStyle w:val="EndNoteBibliography"/>
        <w:spacing w:lineRule="auto" w:line="360" w:before="0" w:after="0"/>
        <w:ind w:left="720" w:hanging="720"/>
        <w:rPr/>
      </w:pPr>
      <w:r>
        <w:rPr/>
        <w:t xml:space="preserve">Clavaguera, F., T. Bolmont, R. A. Crowther, D. Abramowski, S. Frank, A. Probst, G. Fraser, A. K. Stalder, M. Beibel, M. Staufenbiel, M. Jucker, M. Goedert, and M. Tolnay. 2009. "Transmission and spreading of tauopathy in transgenic mouse brain."  </w:t>
      </w:r>
      <w:r>
        <w:rPr>
          <w:i/>
        </w:rPr>
        <w:t>Nat Cell Biol</w:t>
      </w:r>
      <w:r>
        <w:rPr/>
        <w:t xml:space="preserve"> 11 (7):909-13. doi: 10.1038/ncb1901.</w:t>
      </w:r>
    </w:p>
    <w:p>
      <w:pPr>
        <w:pStyle w:val="EndNoteBibliography"/>
        <w:spacing w:lineRule="auto" w:line="360" w:before="0" w:after="0"/>
        <w:ind w:left="720" w:hanging="720"/>
        <w:rPr/>
      </w:pPr>
      <w:r>
        <w:rPr/>
        <w:t xml:space="preserve">Clavaguera, F., I. Lavenir, B. Falcon, S. Frank, M. Goedert, and M. Tolnay. 2013. ""Prion-like" templated misfolding in tauopathies."  </w:t>
      </w:r>
      <w:r>
        <w:rPr>
          <w:i/>
        </w:rPr>
        <w:t>Brain Pathol</w:t>
      </w:r>
      <w:r>
        <w:rPr/>
        <w:t xml:space="preserve"> 23 (3):342-9. doi: 10.1111/bpa.12044.</w:t>
      </w:r>
    </w:p>
    <w:p>
      <w:pPr>
        <w:pStyle w:val="EndNoteBibliography"/>
        <w:spacing w:lineRule="auto" w:line="360" w:before="0" w:after="0"/>
        <w:ind w:left="720" w:hanging="720"/>
        <w:rPr/>
      </w:pPr>
      <w:r>
        <w:rPr/>
        <w:t xml:space="preserve">Falcon, B., A. Cavallini, R. Angers, S. Glover, T. K. Murray, L. Barnham, S. Jackson, M. J. O'Neill, A. M. Isaacs, M. L. Hutton, P. G. Szekeres, M. Goedert, and S. Bose. 2015. "Conformation determines the seeding potencies of native and recombinant Tau aggregates."  </w:t>
      </w:r>
      <w:r>
        <w:rPr>
          <w:i/>
        </w:rPr>
        <w:t>J Biol Chem</w:t>
      </w:r>
      <w:r>
        <w:rPr/>
        <w:t xml:space="preserve"> 290 (2):1049-65. doi: 10.1074/jbc.M114.589309.</w:t>
      </w:r>
    </w:p>
    <w:p>
      <w:pPr>
        <w:pStyle w:val="EndNoteBibliography"/>
        <w:spacing w:lineRule="auto" w:line="360" w:before="0" w:after="0"/>
        <w:ind w:left="720" w:hanging="720"/>
        <w:rPr/>
      </w:pPr>
      <w:r>
        <w:rPr/>
        <w:t xml:space="preserve">Falcon, B., W. Zhang, A. G. Murzin, G. Murshudov, H. J. Garringer, R. Vidal, R. A. Crowther, B. Ghetti, S. H. W. Scheres, and M. Goedert. 2018. "Structures of filaments from Pick's disease reveal a novel tau protein fold."  </w:t>
      </w:r>
      <w:r>
        <w:rPr>
          <w:i/>
        </w:rPr>
        <w:t>Nature</w:t>
      </w:r>
      <w:r>
        <w:rPr/>
        <w:t xml:space="preserve"> 561 (7721):137-140. doi: 10.1038/s41586-018-0454-y.</w:t>
      </w:r>
    </w:p>
    <w:p>
      <w:pPr>
        <w:pStyle w:val="EndNoteBibliography"/>
        <w:spacing w:lineRule="auto" w:line="360" w:before="0" w:after="0"/>
        <w:ind w:left="720" w:hanging="720"/>
        <w:rPr/>
      </w:pPr>
      <w:r>
        <w:rPr/>
        <w:t xml:space="preserve">Fitzpatrick, A. W. P., B. Falcon, S. He, A. G. Murzin, G. Murshudov, H. J. Garringer, R. A. Crowther, B. Ghetti, M. Goedert, and S. H. W. Scheres. 2017. "Cryo-EM structures of tau filaments from Alzheimer's disease."  </w:t>
      </w:r>
      <w:r>
        <w:rPr>
          <w:i/>
        </w:rPr>
        <w:t>Nature</w:t>
      </w:r>
      <w:r>
        <w:rPr/>
        <w:t xml:space="preserve"> 547 (7662):185-190. doi: 10.1038/nature23002.</w:t>
      </w:r>
    </w:p>
    <w:p>
      <w:pPr>
        <w:pStyle w:val="EndNoteBibliography"/>
        <w:spacing w:lineRule="auto" w:line="360" w:before="0" w:after="0"/>
        <w:ind w:left="720" w:hanging="720"/>
        <w:rPr/>
      </w:pPr>
      <w:r>
        <w:rPr/>
        <w:t xml:space="preserve">Goedert, M., M. G. Spillantini, R. Jakes, D. Rutherford, and R. A. Crowther. 1989. "Multiple isoforms of human microtubule-associated protein tau: sequences and localization in neurofibrillary tangles of Alzheimer's disease."  </w:t>
      </w:r>
      <w:r>
        <w:rPr>
          <w:i/>
        </w:rPr>
        <w:t>Neuron</w:t>
      </w:r>
      <w:r>
        <w:rPr/>
        <w:t xml:space="preserve"> 3 (4):519-26. doi: 10.1016/0896-6273(89)90210-9.</w:t>
      </w:r>
    </w:p>
    <w:p>
      <w:pPr>
        <w:pStyle w:val="EndNoteBibliography"/>
        <w:spacing w:lineRule="auto" w:line="360" w:before="0" w:after="0"/>
        <w:ind w:left="720" w:hanging="720"/>
        <w:rPr/>
      </w:pPr>
      <w:r>
        <w:rPr/>
        <w:t xml:space="preserve">Guo, J. L., S. Narasimhan, L. Changolkar, Z. He, A. Stieber, B. Zhang, R. J. Gathagan, M. Iba, J. D. McBride, J. Q. Trojanowski, and V. M. Lee. 2016. "Unique pathological tau conformers from Alzheimer's brains transmit tau pathology in nontransgenic mice."  </w:t>
      </w:r>
      <w:r>
        <w:rPr>
          <w:i/>
        </w:rPr>
        <w:t>J Exp Med</w:t>
      </w:r>
      <w:r>
        <w:rPr/>
        <w:t xml:space="preserve"> 213 (12):2635-2654. doi: 10.1084/jem.20160833.</w:t>
      </w:r>
    </w:p>
    <w:p>
      <w:pPr>
        <w:pStyle w:val="EndNoteBibliography"/>
        <w:spacing w:lineRule="auto" w:line="360" w:before="0" w:after="0"/>
        <w:ind w:left="720" w:hanging="720"/>
        <w:rPr/>
      </w:pPr>
      <w:r>
        <w:rPr/>
        <w:t xml:space="preserve">He, Z., J. L. Guo, J. D. McBride, S. Narasimhan, H. Kim, L. Changolkar, B. Zhang, R. J. Gathagan, C. Yue, C. Dengler, A. Stieber, M. Nitla, D. A. Coulter, T. Abel, K. R. Brunden, J. Q. Trojanowski, and V. M. Lee. 2018. "Amyloid-beta plaques enhance Alzheimer's brain tau-seeded pathologies by facilitating neuritic plaque tau aggregation."  </w:t>
      </w:r>
      <w:r>
        <w:rPr>
          <w:i/>
        </w:rPr>
        <w:t>Nat Med</w:t>
      </w:r>
      <w:r>
        <w:rPr/>
        <w:t xml:space="preserve"> 24 (1):29-38. doi: 10.1038/nm.4443.</w:t>
      </w:r>
    </w:p>
    <w:p>
      <w:pPr>
        <w:pStyle w:val="EndNoteBibliography"/>
        <w:spacing w:lineRule="auto" w:line="360" w:before="0" w:after="0"/>
        <w:ind w:left="720" w:hanging="720"/>
        <w:rPr/>
      </w:pPr>
      <w:r>
        <w:rPr/>
        <w:t xml:space="preserve">Huang, M., and W. A. McEwan. 2025. "Sensitive detection and propagation of brain-derived tau assemblies in HEK293-based wild-type tau seeding assays."  </w:t>
      </w:r>
      <w:r>
        <w:rPr>
          <w:i/>
        </w:rPr>
        <w:t>J Biol Chem</w:t>
      </w:r>
      <w:r>
        <w:rPr/>
        <w:t xml:space="preserve"> 301 (3):108245. doi: 10.1016/j.jbc.2025.108245.</w:t>
      </w:r>
    </w:p>
    <w:p>
      <w:pPr>
        <w:pStyle w:val="EndNoteBibliography"/>
        <w:spacing w:lineRule="auto" w:line="360" w:before="0" w:after="0"/>
        <w:ind w:left="720" w:hanging="720"/>
        <w:rPr/>
      </w:pPr>
      <w:r>
        <w:rPr/>
        <w:t xml:space="preserve">Hutton, M., C. L. Lendon, P. Rizzu, M. Baker, S. Froelich, H. Houlden, S. Pickering-Brown, S. Chakraverty, A. Isaacs, A. Grover, J. Hackett, J. Adamson, S. Lincoln, D. Dickson, P. Davies, R. C. Petersen, M. Stevens, E. de Graaff, E. Wauters, J. van Baren, M. Hillebrand, M. Joosse, J. M. Kwon, P. Nowotny, L. K. Che, J. Norton, J. C. Morris, L. A. Reed, J. Trojanowski, H. Basun, L. Lannfelt, M. Neystat, S. Fahn, F. Dark, T. Tannenberg, P. R. Dodd, N. Hayward, J. B. Kwok, P. R. Schofield, A. Andreadis, J. Snowden, D. Craufurd, D. Neary, F. Owen, B. A. Oostra, J. Hardy, A. Goate, J. van Swieten, D. Mann, T. Lynch, and P. Heutink. 1998. "Association of missense and 5'-splice-site mutations in tau with the inherited dementia FTDP-17."  </w:t>
      </w:r>
      <w:r>
        <w:rPr>
          <w:i/>
        </w:rPr>
        <w:t>Nature</w:t>
      </w:r>
      <w:r>
        <w:rPr/>
        <w:t xml:space="preserve"> 393 (6686):702-5. doi: 10.1038/31508.</w:t>
      </w:r>
    </w:p>
    <w:p>
      <w:pPr>
        <w:pStyle w:val="EndNoteBibliography"/>
        <w:spacing w:lineRule="auto" w:line="360" w:before="0" w:after="0"/>
        <w:ind w:left="720" w:hanging="720"/>
        <w:rPr/>
      </w:pPr>
      <w:r>
        <w:rPr/>
        <w:t xml:space="preserve">Iba, M., J. L. Guo, J. D. McBride, B. Zhang, J. Q. Trojanowski, and V. M. Lee. 2013. "Synthetic tau fibrils mediate transmission of neurofibrillary tangles in a transgenic mouse model of Alzheimer's-like tauopathy."  </w:t>
      </w:r>
      <w:r>
        <w:rPr>
          <w:i/>
        </w:rPr>
        <w:t>J Neurosci</w:t>
      </w:r>
      <w:r>
        <w:rPr/>
        <w:t xml:space="preserve"> 33 (3):1024-37. doi: 10.1523/JNEUROSCI.2642-12.2013.</w:t>
      </w:r>
    </w:p>
    <w:p>
      <w:pPr>
        <w:pStyle w:val="EndNoteBibliography"/>
        <w:spacing w:lineRule="auto" w:line="360" w:before="0" w:after="0"/>
        <w:ind w:left="720" w:hanging="720"/>
        <w:rPr/>
      </w:pPr>
      <w:r>
        <w:rPr/>
        <w:t xml:space="preserve">Iba, M., J. D. McBride, J. L. Guo, B. Zhang, J. Q. Trojanowski, and V. M. Lee. 2015. "Tau pathology spread in PS19 tau transgenic mice following locus coeruleus (LC) injections of synthetic tau fibrils is determined by the LC's afferent and efferent connections."  </w:t>
      </w:r>
      <w:r>
        <w:rPr>
          <w:i/>
        </w:rPr>
        <w:t>Acta Neuropathol</w:t>
      </w:r>
      <w:r>
        <w:rPr/>
        <w:t xml:space="preserve"> 130 (3):349-62. doi: 10.1007/s00401-015-1458-4.</w:t>
      </w:r>
    </w:p>
    <w:p>
      <w:pPr>
        <w:pStyle w:val="EndNoteBibliography"/>
        <w:spacing w:lineRule="auto" w:line="360" w:before="0" w:after="0"/>
        <w:ind w:left="720" w:hanging="720"/>
        <w:rPr/>
      </w:pPr>
      <w:r>
        <w:rPr/>
        <w:t xml:space="preserve">Katsinelos, T., S. Lovestam, C. Qi, B. Ryskeldi-Falcon, J. A. Macdonald, G. Stephenson, B. Ghetti, A. McKee, S. H. W. Scheres, and M. Goedert. 2025. "Seeding biosensor cell line that reproduces the Alzheimer tau fold."  </w:t>
      </w:r>
      <w:r>
        <w:rPr>
          <w:i/>
        </w:rPr>
        <w:t>J Biol Chem</w:t>
      </w:r>
      <w:r>
        <w:rPr/>
        <w:t xml:space="preserve"> 301 (12):110952. doi: 10.1016/j.jbc.2025.110952.</w:t>
      </w:r>
    </w:p>
    <w:p>
      <w:pPr>
        <w:pStyle w:val="EndNoteBibliography"/>
        <w:spacing w:lineRule="auto" w:line="360" w:before="0" w:after="0"/>
        <w:ind w:left="720" w:hanging="720"/>
        <w:rPr/>
      </w:pPr>
      <w:r>
        <w:rPr/>
        <w:t xml:space="preserve">Li, W., and V. M. Lee. 2006. "Characterization of two VQIXXK motifs for tau fibrillization in vitro."  </w:t>
      </w:r>
      <w:r>
        <w:rPr>
          <w:i/>
        </w:rPr>
        <w:t>Biochemistry</w:t>
      </w:r>
      <w:r>
        <w:rPr/>
        <w:t xml:space="preserve"> 45 (51):15692-701. doi: 10.1021/bi061422+.</w:t>
      </w:r>
    </w:p>
    <w:p>
      <w:pPr>
        <w:pStyle w:val="EndNoteBibliography"/>
        <w:spacing w:lineRule="auto" w:line="360" w:before="0" w:after="0"/>
        <w:ind w:left="720" w:hanging="720"/>
        <w:rPr/>
      </w:pPr>
      <w:r>
        <w:rPr/>
        <w:t xml:space="preserve">Lovestam, S., J. L. Wagstaff, T. Katsinelos, J. Shi, S. M. V. Freund, M. Goedert, and S. H. W. Scheres. 2026. "Twelve phosphomimetic mutations induce the assembly of recombinant full-length human tau into paired helical filaments."  </w:t>
      </w:r>
      <w:r>
        <w:rPr>
          <w:i/>
        </w:rPr>
        <w:t>Elife</w:t>
      </w:r>
      <w:r>
        <w:rPr/>
        <w:t xml:space="preserve"> 14. doi: 10.7554/eLife.104778.</w:t>
      </w:r>
    </w:p>
    <w:p>
      <w:pPr>
        <w:pStyle w:val="EndNoteBibliography"/>
        <w:spacing w:lineRule="auto" w:line="360" w:before="0" w:after="0"/>
        <w:ind w:left="720" w:hanging="720"/>
        <w:rPr/>
      </w:pPr>
      <w:r>
        <w:rPr/>
        <w:t xml:space="preserve">Macdonald, J. A., I. F. Bronner, L. Drynan, J. Fan, A. Curry, G. Fraser, I. Lavenir, and M. Goedert. 2019. "Assembly of transgenic human P301S Tau is necessary for neurodegeneration in murine spinal cord."  </w:t>
      </w:r>
      <w:r>
        <w:rPr>
          <w:i/>
        </w:rPr>
        <w:t>Acta Neuropathol Commun</w:t>
      </w:r>
      <w:r>
        <w:rPr/>
        <w:t xml:space="preserve"> 7 (1):44. doi: 10.1186/s40478-019-0695-5.</w:t>
      </w:r>
    </w:p>
    <w:p>
      <w:pPr>
        <w:pStyle w:val="EndNoteBibliography"/>
        <w:spacing w:lineRule="auto" w:line="360" w:before="0" w:after="0"/>
        <w:ind w:left="720" w:hanging="720"/>
        <w:rPr/>
      </w:pPr>
      <w:r>
        <w:rPr/>
        <w:t xml:space="preserve">McEwan, W. A., B. Falcon, M. Vaysburd, D. Clift, A. L. Oblak, B. Ghetti, M. Goedert, and L. C. James. 2017. "Cytosolic Fc receptor TRIM21 inhibits seeded tau aggregation."  </w:t>
      </w:r>
      <w:r>
        <w:rPr>
          <w:i/>
        </w:rPr>
        <w:t>Proc Natl Acad Sci U S A</w:t>
      </w:r>
      <w:r>
        <w:rPr/>
        <w:t xml:space="preserve"> 114 (3):574-579. doi: 10.1073/pnas.1607215114.</w:t>
      </w:r>
    </w:p>
    <w:p>
      <w:pPr>
        <w:pStyle w:val="EndNoteBibliography"/>
        <w:spacing w:lineRule="auto" w:line="360" w:before="0" w:after="0"/>
        <w:ind w:left="720" w:hanging="720"/>
        <w:rPr/>
      </w:pPr>
      <w:r>
        <w:rPr/>
        <w:t xml:space="preserve">Mueller, R. L., B. Combs, and N. M. Kanaan. 2025. "Seeding Alzheimer's disease-associated tau pathology in MAPT knock-in primary neurons causes early axonopathy and synaptic dysfunction."  </w:t>
      </w:r>
      <w:r>
        <w:rPr>
          <w:i/>
        </w:rPr>
        <w:t>Sci Rep</w:t>
      </w:r>
      <w:r>
        <w:rPr/>
        <w:t xml:space="preserve"> 15 (1):38140. doi: 10.1038/s41598-025-21920-8.</w:t>
      </w:r>
    </w:p>
    <w:p>
      <w:pPr>
        <w:pStyle w:val="EndNoteBibliography"/>
        <w:spacing w:lineRule="auto" w:line="360" w:before="0" w:after="0"/>
        <w:ind w:left="720" w:hanging="720"/>
        <w:rPr/>
      </w:pPr>
      <w:r>
        <w:rPr/>
        <w:t xml:space="preserve">Narasimhan, S., J. L. Guo, L. Changolkar, A. Stieber, J. D. McBride, L. V. Silva, Z. He, B. Zhang, R. J. Gathagan, J. Q. Trojanowski, and V. M. Y. Lee. 2017. "Pathological Tau Strains from Human Brains Recapitulate the Diversity of Tauopathies in Nontransgenic Mouse Brain."  </w:t>
      </w:r>
      <w:r>
        <w:rPr>
          <w:i/>
        </w:rPr>
        <w:t>J Neurosci</w:t>
      </w:r>
      <w:r>
        <w:rPr/>
        <w:t xml:space="preserve"> 37 (47):11406-11423. doi: 10.1523/JNEUROSCI.1230-17.2017.</w:t>
      </w:r>
    </w:p>
    <w:p>
      <w:pPr>
        <w:pStyle w:val="EndNoteBibliography"/>
        <w:spacing w:lineRule="auto" w:line="360" w:before="0" w:after="0"/>
        <w:ind w:left="720" w:hanging="720"/>
        <w:rPr/>
      </w:pPr>
      <w:r>
        <w:rPr/>
        <w:t xml:space="preserve">Peng, C., J. Q. Trojanowski, and V. M. Lee. 2020. "Protein transmission in neurodegenerative disease."  </w:t>
      </w:r>
      <w:r>
        <w:rPr>
          <w:i/>
        </w:rPr>
        <w:t>Nat Rev Neurol</w:t>
      </w:r>
      <w:r>
        <w:rPr/>
        <w:t xml:space="preserve"> 16 (4):199-212. doi: 10.1038/s41582-020-0333-7.</w:t>
      </w:r>
    </w:p>
    <w:p>
      <w:pPr>
        <w:pStyle w:val="EndNoteBibliography"/>
        <w:spacing w:lineRule="auto" w:line="360" w:before="0" w:after="0"/>
        <w:ind w:left="720" w:hanging="720"/>
        <w:rPr/>
      </w:pPr>
      <w:r>
        <w:rPr/>
        <w:t xml:space="preserve">Poorkaj, P., T. D. Bird, E. Wijsman, E. Nemens, R. M. Garruto, L. Anderson, A. Andreadis, W. C. Wiederholt, M. Raskind, and G. D. Schellenberg. 1998. "Tau is a candidate gene for chromosome 17 frontotemporal dementia."  </w:t>
      </w:r>
      <w:r>
        <w:rPr>
          <w:i/>
        </w:rPr>
        <w:t>Ann Neurol</w:t>
      </w:r>
      <w:r>
        <w:rPr/>
        <w:t xml:space="preserve"> 43 (6):815-25. doi: 10.1002/ana.410430617.</w:t>
      </w:r>
    </w:p>
    <w:p>
      <w:pPr>
        <w:pStyle w:val="EndNoteBibliography"/>
        <w:spacing w:lineRule="auto" w:line="360" w:before="0" w:after="0"/>
        <w:ind w:left="720" w:hanging="720"/>
        <w:rPr/>
      </w:pPr>
      <w:r>
        <w:rPr/>
        <w:t xml:space="preserve">Qi, C., S. Lovestam, A. G. Murzin, S. Peak-Chew, C. Franco, M. Bogdani, C. Latimer, J. R. Murrell, P. W. Cullinane, Z. Jaunmuktane, T. D. Bird, B. Ghetti, S. H. W. Scheres, and M. Goedert. 2025. "Tau filaments with the Alzheimer fold in human MAPT mutants V337M and R406W."  </w:t>
      </w:r>
      <w:r>
        <w:rPr>
          <w:i/>
        </w:rPr>
        <w:t>Nat Struct Mol Biol</w:t>
      </w:r>
      <w:r>
        <w:rPr/>
        <w:t xml:space="preserve"> 32 (7):1297-1304. doi: 10.1038/s41594-025-01498-5.</w:t>
      </w:r>
    </w:p>
    <w:p>
      <w:pPr>
        <w:pStyle w:val="EndNoteBibliography"/>
        <w:spacing w:lineRule="auto" w:line="360" w:before="0" w:after="0"/>
        <w:ind w:left="720" w:hanging="720"/>
        <w:rPr/>
      </w:pPr>
      <w:r>
        <w:rPr/>
        <w:t xml:space="preserve">Scheres, S. H. W., B. Ryskeldi-Falcon, and M. Goedert. 2023. "Molecular pathology of neurodegenerative diseases by cryo-EM of amyloids."  </w:t>
      </w:r>
      <w:r>
        <w:rPr>
          <w:i/>
        </w:rPr>
        <w:t>Nature</w:t>
      </w:r>
      <w:r>
        <w:rPr/>
        <w:t xml:space="preserve"> 621 (7980):701-710. doi: 10.1038/s41586-023-06437-2.</w:t>
      </w:r>
    </w:p>
    <w:p>
      <w:pPr>
        <w:pStyle w:val="EndNoteBibliography"/>
        <w:spacing w:lineRule="auto" w:line="360" w:before="0" w:after="0"/>
        <w:ind w:left="720" w:hanging="720"/>
        <w:rPr/>
      </w:pPr>
      <w:r>
        <w:rPr/>
        <w:t xml:space="preserve">Shi, Y., W. Zhang, Y. Yang, A. G. Murzin, B. Falcon, A. Kotecha, M. van Beers, A. Tarutani, F. Kametani, H. J. Garringer, R. Vidal, G. I. Hallinan, T. Lashley, Y. Saito, S. Murayama, M. Yoshida, H. Tanaka, A. Kakita, T. Ikeuchi, A. C. Robinson, D. M. A. Mann, G. G. Kovacs, T. Revesz, B. Ghetti, M. Hasegawa, M. Goedert, and S. H. W. Scheres. 2021. "Structure-based classification of tauopathies."  </w:t>
      </w:r>
      <w:r>
        <w:rPr>
          <w:i/>
        </w:rPr>
        <w:t>Nature</w:t>
      </w:r>
      <w:r>
        <w:rPr/>
        <w:t xml:space="preserve"> 598 (7880):359-363. doi: 10.1038/s41586-021-03911-7.</w:t>
      </w:r>
    </w:p>
    <w:p>
      <w:pPr>
        <w:pStyle w:val="EndNoteBibliography"/>
        <w:spacing w:lineRule="auto" w:line="360" w:before="0" w:after="0"/>
        <w:ind w:left="720" w:hanging="720"/>
        <w:rPr/>
      </w:pPr>
      <w:r>
        <w:rPr/>
        <w:t xml:space="preserve">Spillantini, M. G., J. R. Murrell, M. Goedert, M. R. Farlow, A. Klug, and B. Ghetti. 1998. "Mutation in the tau gene in familial multiple system tauopathy with presenile dementia."  </w:t>
      </w:r>
      <w:r>
        <w:rPr>
          <w:i/>
        </w:rPr>
        <w:t>Proc Natl Acad Sci U S A</w:t>
      </w:r>
      <w:r>
        <w:rPr/>
        <w:t xml:space="preserve"> 95 (13):7737-41. doi: 10.1073/pnas.95.13.7737.</w:t>
      </w:r>
    </w:p>
    <w:p>
      <w:pPr>
        <w:pStyle w:val="EndNoteBibliography"/>
        <w:spacing w:lineRule="auto" w:line="360" w:before="0" w:after="0"/>
        <w:ind w:left="720" w:hanging="720"/>
        <w:rPr/>
      </w:pPr>
      <w:r>
        <w:rPr/>
        <w:t xml:space="preserve">Tarutani, A., S. Lovestam, X. Zhang, A. Kotecha, A. C. Robinson, D. M. A. Mann, Y. Saito, S. Murayama, T. Tomita, M. Goedert, S. H. W. Scheres, and M. Hasegawa. 2023. "Cryo-EM structures of tau filaments from SH-SY5Y cells seeded with brain extracts from cases of Alzheimer's disease and corticobasal degeneration."  </w:t>
      </w:r>
      <w:r>
        <w:rPr>
          <w:i/>
        </w:rPr>
        <w:t>FEBS Open Bio</w:t>
      </w:r>
      <w:r>
        <w:rPr/>
        <w:t xml:space="preserve"> 13 (8):1394-1404. doi: 10.1002/2211-5463.13657.</w:t>
      </w:r>
    </w:p>
    <w:p>
      <w:pPr>
        <w:pStyle w:val="EndNoteBibliography"/>
        <w:spacing w:lineRule="auto" w:line="360" w:before="0" w:after="0"/>
        <w:ind w:left="720" w:hanging="720"/>
        <w:rPr/>
      </w:pPr>
      <w:r>
        <w:rPr/>
        <w:t xml:space="preserve">Valli, J., A. Garcia-Burgos, L. M. Rooney, E. Oliveira B. Vale de Melo, R. R. Duncan, and C. Rickman. 2021. "Seeing beyond the limit: A guide to choosing the right super-resolution microscopy technique."  </w:t>
      </w:r>
      <w:r>
        <w:rPr>
          <w:i/>
        </w:rPr>
        <w:t>J Biol Chem</w:t>
      </w:r>
      <w:r>
        <w:rPr/>
        <w:t xml:space="preserve"> 297 (1):100791. doi: 10.1016/j.jbc.2021.100791.</w:t>
      </w:r>
    </w:p>
    <w:p>
      <w:pPr>
        <w:pStyle w:val="EndNoteBibliography"/>
        <w:spacing w:lineRule="auto" w:line="360" w:before="0" w:after="0"/>
        <w:ind w:left="720" w:hanging="720"/>
        <w:rPr/>
      </w:pPr>
      <w:r>
        <w:rPr/>
        <w:t xml:space="preserve">von Bergen, M., P. Friedhoff, J. Biernat, J. Heberle, E. M. Mandelkow, and E. Mandelkow. 2000. "Assembly of tau protein into Alzheimer paired helical filaments depends on a local sequence motif ((306)VQIVYK(311)) forming beta structure."  </w:t>
      </w:r>
      <w:r>
        <w:rPr>
          <w:i/>
        </w:rPr>
        <w:t>Proc Natl Acad Sci U S A</w:t>
      </w:r>
      <w:r>
        <w:rPr/>
        <w:t xml:space="preserve"> 97 (10):5129-34. doi: 10.1073/pnas.97.10.5129.</w:t>
      </w:r>
    </w:p>
    <w:p>
      <w:pPr>
        <w:pStyle w:val="EndNoteBibliography"/>
        <w:spacing w:lineRule="auto" w:line="360" w:before="0" w:after="0"/>
        <w:ind w:left="720" w:hanging="720"/>
        <w:rPr/>
      </w:pPr>
      <w:r>
        <w:rPr/>
        <w:t xml:space="preserve">Wu, J. W., K. Titterton, R. Sebastian, N. Romanul, K. Yanamandra, B. Mastis, R. Chang, S. Khasnavis, T. Kwon, Y. Chai, J. D. Manos, C. N. Preiss, M. Hu, A. M. Welker, F. Liao, T. Dellovade, E. Karran, and X. Langlois. 2025. "Development of a robust, physiologically relevant neuronal tau aggregation assay for tau-related drug discovery."  </w:t>
      </w:r>
      <w:r>
        <w:rPr>
          <w:i/>
        </w:rPr>
        <w:t>J Biol Chem</w:t>
      </w:r>
      <w:r>
        <w:rPr/>
        <w:t xml:space="preserve"> 301 (12):110853. doi: 10.1016/j.jbc.2025.110853.</w:t>
      </w:r>
    </w:p>
    <w:p>
      <w:pPr>
        <w:pStyle w:val="EndNoteBibliography"/>
        <w:spacing w:lineRule="auto" w:line="360"/>
        <w:ind w:left="720" w:hanging="720"/>
        <w:rPr/>
      </w:pPr>
      <w:r>
        <w:rPr/>
        <w:t xml:space="preserve">Zolotukhin, S., B. J. Byrne, E. Mason, I. Zolotukhin, M. Potter, K. Chesnut, C. Summerford, R. J. Samulski, and N. Muzyczka. 1999. "Recombinant adeno-associated virus purification using novel methods improves infectious titer and yield."  </w:t>
      </w:r>
      <w:r>
        <w:rPr>
          <w:i/>
        </w:rPr>
        <w:t>Gene Ther</w:t>
      </w:r>
      <w:r>
        <w:rPr/>
        <w:t xml:space="preserve"> 6 (6):973-85. doi: 10.1038/sj.gt.3300938.</w:t>
      </w:r>
    </w:p>
    <w:p>
      <w:pPr>
        <w:pStyle w:val="Normal"/>
        <w:spacing w:lineRule="auto" w:line="360" w:before="0" w:after="160"/>
        <w:rPr/>
      </w:pPr>
      <w:r>
        <w:rPr/>
      </w:r>
      <w:r>
        <w:rPr/>
        <w:fldChar w:fldCharType="end"/>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3dc5"/>
    <w:pPr>
      <w:widowControl/>
      <w:bidi w:val="0"/>
      <w:spacing w:lineRule="auto" w:line="276" w:before="0" w:after="160"/>
      <w:jc w:val="left"/>
    </w:pPr>
    <w:rPr>
      <w:rFonts w:eastAsia="" w:eastAsiaTheme="minorEastAsia" w:ascii="Aptos" w:hAnsi="Aptos" w:cs=""/>
      <w:color w:val="auto"/>
      <w:kern w:val="2"/>
      <w:sz w:val="24"/>
      <w:szCs w:val="24"/>
      <w:lang w:val="en-GB" w:eastAsia="zh-CN" w:bidi="ar-SA"/>
    </w:rPr>
  </w:style>
  <w:style w:type="paragraph" w:styleId="Heading1">
    <w:name w:val="Heading 1"/>
    <w:basedOn w:val="Normal"/>
    <w:next w:val="Normal"/>
    <w:link w:val="Heading1Char"/>
    <w:uiPriority w:val="9"/>
    <w:qFormat/>
    <w:rsid w:val="00be3dc5"/>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be3dc5"/>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be3dc5"/>
    <w:pPr>
      <w:keepNext w:val="true"/>
      <w:keepLines/>
      <w:spacing w:before="160" w:after="80"/>
      <w:outlineLvl w:val="2"/>
    </w:pPr>
    <w:rPr>
      <w:rFonts w:eastAsia="" w:cs="" w:cstheme="majorBidi" w:eastAsiaTheme="majorEastAsia"/>
      <w:color w:val="0F4761"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be3dc5"/>
    <w:pPr>
      <w:keepNext w:val="true"/>
      <w:keepLines/>
      <w:spacing w:before="80" w:after="40"/>
      <w:outlineLvl w:val="3"/>
    </w:pPr>
    <w:rPr>
      <w:rFonts w:eastAsia="" w:cs="" w:cstheme="majorBidi" w:eastAsiaTheme="majorEastAsia"/>
      <w:i/>
      <w:iCs/>
      <w:color w:val="0F4761" w:themeColor="accent1" w:themeShade="bf"/>
      <w:lang w:val="en-US" w:eastAsia="en-US"/>
    </w:rPr>
  </w:style>
  <w:style w:type="paragraph" w:styleId="Heading5">
    <w:name w:val="Heading 5"/>
    <w:basedOn w:val="Normal"/>
    <w:next w:val="Normal"/>
    <w:link w:val="Heading5Char"/>
    <w:uiPriority w:val="9"/>
    <w:semiHidden/>
    <w:unhideWhenUsed/>
    <w:qFormat/>
    <w:rsid w:val="00be3dc5"/>
    <w:pPr>
      <w:keepNext w:val="true"/>
      <w:keepLines/>
      <w:spacing w:before="80" w:after="40"/>
      <w:outlineLvl w:val="4"/>
    </w:pPr>
    <w:rPr>
      <w:rFonts w:eastAsia="" w:cs="" w:cstheme="majorBidi" w:eastAsiaTheme="majorEastAsia"/>
      <w:color w:val="0F4761" w:themeColor="accent1" w:themeShade="bf"/>
      <w:lang w:val="en-US" w:eastAsia="en-US"/>
    </w:rPr>
  </w:style>
  <w:style w:type="paragraph" w:styleId="Heading6">
    <w:name w:val="Heading 6"/>
    <w:basedOn w:val="Normal"/>
    <w:next w:val="Normal"/>
    <w:link w:val="Heading6Char"/>
    <w:uiPriority w:val="9"/>
    <w:semiHidden/>
    <w:unhideWhenUsed/>
    <w:qFormat/>
    <w:rsid w:val="00be3dc5"/>
    <w:pPr>
      <w:keepNext w:val="true"/>
      <w:keepLines/>
      <w:spacing w:before="40" w:after="0"/>
      <w:outlineLvl w:val="5"/>
    </w:pPr>
    <w:rPr>
      <w:rFonts w:eastAsia="" w:cs="" w:cstheme="majorBidi" w:eastAsiaTheme="majorEastAsia"/>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be3dc5"/>
    <w:pPr>
      <w:keepNext w:val="true"/>
      <w:keepLines/>
      <w:spacing w:before="40" w:after="0"/>
      <w:outlineLvl w:val="6"/>
    </w:pPr>
    <w:rPr>
      <w:rFonts w:eastAsia="" w:cs="" w:cstheme="majorBidi" w:eastAsiaTheme="majorEastAsia"/>
      <w:color w:val="595959" w:themeColor="text1" w:themeTint="a6"/>
      <w:lang w:val="en-US" w:eastAsia="en-US"/>
    </w:rPr>
  </w:style>
  <w:style w:type="paragraph" w:styleId="Heading8">
    <w:name w:val="Heading 8"/>
    <w:basedOn w:val="Normal"/>
    <w:next w:val="Normal"/>
    <w:link w:val="Heading8Char"/>
    <w:uiPriority w:val="9"/>
    <w:semiHidden/>
    <w:unhideWhenUsed/>
    <w:qFormat/>
    <w:rsid w:val="00be3dc5"/>
    <w:pPr>
      <w:keepNext w:val="true"/>
      <w:keepLines/>
      <w:spacing w:before="0" w:after="0"/>
      <w:outlineLvl w:val="7"/>
    </w:pPr>
    <w:rPr>
      <w:rFonts w:eastAsia="" w:cs="" w:cstheme="majorBidi" w:eastAsiaTheme="majorEastAsia"/>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be3dc5"/>
    <w:pPr>
      <w:keepNext w:val="true"/>
      <w:keepLines/>
      <w:spacing w:before="0" w:after="0"/>
      <w:outlineLvl w:val="8"/>
    </w:pPr>
    <w:rPr>
      <w:rFonts w:eastAsia="" w:cs="" w:cstheme="majorBidi" w:eastAsiaTheme="majorEastAsia"/>
      <w:color w:val="272727" w:themeColor="text1" w:themeTint="d8"/>
      <w:lang w:val="en-US" w:eastAsia="en-U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e3dc5"/>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be3dc5"/>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be3dc5"/>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be3dc5"/>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be3dc5"/>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be3dc5"/>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be3dc5"/>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be3dc5"/>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be3dc5"/>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be3dc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e3dc5"/>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be3dc5"/>
    <w:rPr>
      <w:i/>
      <w:iCs/>
      <w:color w:val="404040" w:themeColor="text1" w:themeTint="bf"/>
    </w:rPr>
  </w:style>
  <w:style w:type="character" w:styleId="IntenseEmphasis">
    <w:name w:val="Intense Emphasis"/>
    <w:basedOn w:val="DefaultParagraphFont"/>
    <w:uiPriority w:val="21"/>
    <w:qFormat/>
    <w:rsid w:val="00be3dc5"/>
    <w:rPr>
      <w:i/>
      <w:iCs/>
      <w:color w:val="0F4761" w:themeColor="accent1" w:themeShade="bf"/>
    </w:rPr>
  </w:style>
  <w:style w:type="character" w:styleId="IntenseQuoteChar" w:customStyle="1">
    <w:name w:val="Intense Quote Char"/>
    <w:basedOn w:val="DefaultParagraphFont"/>
    <w:link w:val="IntenseQuote"/>
    <w:uiPriority w:val="30"/>
    <w:qFormat/>
    <w:rsid w:val="00be3dc5"/>
    <w:rPr>
      <w:i/>
      <w:iCs/>
      <w:color w:val="0F4761" w:themeColor="accent1" w:themeShade="bf"/>
    </w:rPr>
  </w:style>
  <w:style w:type="character" w:styleId="IntenseReference">
    <w:name w:val="Intense Reference"/>
    <w:basedOn w:val="DefaultParagraphFont"/>
    <w:uiPriority w:val="32"/>
    <w:qFormat/>
    <w:rsid w:val="00be3dc5"/>
    <w:rPr>
      <w:b/>
      <w:bCs/>
      <w:smallCaps/>
      <w:color w:val="0F4761" w:themeColor="accent1" w:themeShade="bf"/>
      <w:spacing w:val="5"/>
    </w:rPr>
  </w:style>
  <w:style w:type="character" w:styleId="Annotationreference">
    <w:name w:val="annotation reference"/>
    <w:basedOn w:val="DefaultParagraphFont"/>
    <w:uiPriority w:val="99"/>
    <w:semiHidden/>
    <w:unhideWhenUsed/>
    <w:qFormat/>
    <w:rsid w:val="00be3dc5"/>
    <w:rPr>
      <w:sz w:val="16"/>
      <w:szCs w:val="16"/>
    </w:rPr>
  </w:style>
  <w:style w:type="character" w:styleId="HeaderChar" w:customStyle="1">
    <w:name w:val="Header Char"/>
    <w:basedOn w:val="DefaultParagraphFont"/>
    <w:link w:val="Header"/>
    <w:uiPriority w:val="99"/>
    <w:qFormat/>
    <w:rsid w:val="00a5359f"/>
    <w:rPr>
      <w:rFonts w:eastAsia="" w:eastAsiaTheme="minorEastAsia"/>
      <w:lang w:val="en-GB" w:eastAsia="zh-CN"/>
    </w:rPr>
  </w:style>
  <w:style w:type="character" w:styleId="FooterChar" w:customStyle="1">
    <w:name w:val="Footer Char"/>
    <w:basedOn w:val="DefaultParagraphFont"/>
    <w:link w:val="Footer"/>
    <w:uiPriority w:val="99"/>
    <w:qFormat/>
    <w:rsid w:val="00a5359f"/>
    <w:rPr>
      <w:rFonts w:eastAsia="" w:eastAsiaTheme="minorEastAsia"/>
      <w:lang w:val="en-GB" w:eastAsia="zh-CN"/>
    </w:rPr>
  </w:style>
  <w:style w:type="character" w:styleId="CommentTextChar" w:customStyle="1">
    <w:name w:val="Comment Text Char"/>
    <w:basedOn w:val="DefaultParagraphFont"/>
    <w:link w:val="CommentText"/>
    <w:uiPriority w:val="99"/>
    <w:semiHidden/>
    <w:qFormat/>
    <w:rPr>
      <w:rFonts w:eastAsia="" w:eastAsiaTheme="minorEastAsia"/>
      <w:sz w:val="20"/>
      <w:szCs w:val="20"/>
      <w:lang w:val="en-GB" w:eastAsia="zh-CN"/>
    </w:rPr>
  </w:style>
  <w:style w:type="character" w:styleId="EndNoteBibliographyTitleChar" w:customStyle="1">
    <w:name w:val="EndNote Bibliography Title Char"/>
    <w:basedOn w:val="DefaultParagraphFont"/>
    <w:link w:val="EndNoteBibliographyTitle"/>
    <w:qFormat/>
    <w:rsid w:val="00af4b8d"/>
    <w:rPr>
      <w:rFonts w:ascii="Aptos" w:hAnsi="Aptos" w:eastAsia="" w:eastAsiaTheme="minorEastAsia"/>
      <w:lang w:val="en-GB" w:eastAsia="zh-CN"/>
    </w:rPr>
  </w:style>
  <w:style w:type="character" w:styleId="EndNoteBibliographyChar" w:customStyle="1">
    <w:name w:val="EndNote Bibliography Char"/>
    <w:basedOn w:val="DefaultParagraphFont"/>
    <w:link w:val="EndNoteBibliography"/>
    <w:qFormat/>
    <w:rsid w:val="00af4b8d"/>
    <w:rPr>
      <w:rFonts w:ascii="Aptos" w:hAnsi="Aptos" w:eastAsia="" w:eastAsiaTheme="minorEastAsia"/>
      <w:lang w:val="en-GB" w:eastAsia="zh-CN"/>
    </w:rPr>
  </w:style>
  <w:style w:type="character" w:styleId="InternetLink">
    <w:name w:val="Hyperlink"/>
    <w:basedOn w:val="DefaultParagraphFont"/>
    <w:uiPriority w:val="99"/>
    <w:unhideWhenUsed/>
    <w:rsid w:val="00af4b8d"/>
    <w:rPr>
      <w:color w:val="467886" w:themeColor="hyperlink"/>
      <w:u w:val="single"/>
    </w:rPr>
  </w:style>
  <w:style w:type="character" w:styleId="UnresolvedMention">
    <w:name w:val="Unresolved Mention"/>
    <w:basedOn w:val="DefaultParagraphFont"/>
    <w:uiPriority w:val="99"/>
    <w:semiHidden/>
    <w:unhideWhenUsed/>
    <w:qFormat/>
    <w:rsid w:val="00af4b8d"/>
    <w:rPr>
      <w:color w:val="605E5C"/>
      <w:shd w:fill="E1DFDD" w:val="clear"/>
    </w:rPr>
  </w:style>
  <w:style w:type="character" w:styleId="CommentSubjectChar" w:customStyle="1">
    <w:name w:val="Comment Subject Char"/>
    <w:basedOn w:val="CommentTextChar"/>
    <w:link w:val="CommentSubject"/>
    <w:uiPriority w:val="99"/>
    <w:semiHidden/>
    <w:qFormat/>
    <w:rsid w:val="00862624"/>
    <w:rPr>
      <w:rFonts w:eastAsia="" w:eastAsiaTheme="minorEastAsia"/>
      <w:b/>
      <w:bCs/>
      <w:sz w:val="20"/>
      <w:szCs w:val="20"/>
      <w:lang w:val="en-GB" w:eastAsia="zh-C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be3dc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lang w:val="en-US" w:eastAsia="en-US"/>
    </w:rPr>
  </w:style>
  <w:style w:type="paragraph" w:styleId="Subtitle">
    <w:name w:val="Subtitle"/>
    <w:basedOn w:val="Normal"/>
    <w:next w:val="Normal"/>
    <w:link w:val="SubtitleChar"/>
    <w:uiPriority w:val="11"/>
    <w:qFormat/>
    <w:rsid w:val="00be3dc5"/>
    <w:pPr/>
    <w:rPr>
      <w:rFonts w:eastAsia="" w:cs="" w:cstheme="majorBidi" w:eastAsiaTheme="majorEastAsia"/>
      <w:color w:val="595959" w:themeColor="text1" w:themeTint="a6"/>
      <w:spacing w:val="15"/>
      <w:sz w:val="28"/>
      <w:szCs w:val="28"/>
      <w:lang w:val="en-US" w:eastAsia="en-US"/>
    </w:rPr>
  </w:style>
  <w:style w:type="paragraph" w:styleId="Quote">
    <w:name w:val="Quote"/>
    <w:basedOn w:val="Normal"/>
    <w:next w:val="Normal"/>
    <w:link w:val="QuoteChar"/>
    <w:uiPriority w:val="29"/>
    <w:qFormat/>
    <w:rsid w:val="00be3dc5"/>
    <w:pPr>
      <w:spacing w:before="160" w:after="160"/>
      <w:jc w:val="center"/>
    </w:pPr>
    <w:rPr>
      <w:rFonts w:eastAsia="Aptos" w:eastAsiaTheme="minorHAnsi"/>
      <w:i/>
      <w:iCs/>
      <w:color w:val="404040" w:themeColor="text1" w:themeTint="bf"/>
      <w:lang w:val="en-US" w:eastAsia="en-US"/>
    </w:rPr>
  </w:style>
  <w:style w:type="paragraph" w:styleId="ListParagraph">
    <w:name w:val="List Paragraph"/>
    <w:basedOn w:val="Normal"/>
    <w:uiPriority w:val="34"/>
    <w:qFormat/>
    <w:rsid w:val="00be3dc5"/>
    <w:pPr>
      <w:spacing w:before="0" w:after="160"/>
      <w:ind w:left="720" w:hanging="0"/>
      <w:contextualSpacing/>
    </w:pPr>
    <w:rPr>
      <w:rFonts w:eastAsia="Aptos" w:eastAsiaTheme="minorHAnsi"/>
      <w:lang w:val="en-US" w:eastAsia="en-US"/>
    </w:rPr>
  </w:style>
  <w:style w:type="paragraph" w:styleId="IntenseQuote">
    <w:name w:val="Intense Quote"/>
    <w:basedOn w:val="Normal"/>
    <w:next w:val="Normal"/>
    <w:link w:val="IntenseQuoteChar"/>
    <w:uiPriority w:val="30"/>
    <w:qFormat/>
    <w:rsid w:val="00be3dc5"/>
    <w:pPr>
      <w:pBdr>
        <w:top w:val="single" w:sz="4" w:space="10" w:color="0F4761"/>
        <w:bottom w:val="single" w:sz="4" w:space="10" w:color="0F4761"/>
      </w:pBdr>
      <w:spacing w:before="360" w:after="360"/>
      <w:ind w:left="864" w:right="864" w:hanging="0"/>
      <w:jc w:val="center"/>
    </w:pPr>
    <w:rPr>
      <w:rFonts w:eastAsia="Aptos" w:eastAsiaTheme="minorHAnsi"/>
      <w:i/>
      <w:iCs/>
      <w:color w:val="0F4761" w:themeColor="accent1" w:themeShade="bf"/>
      <w:lang w:val="en-US" w:eastAsia="en-US"/>
    </w:rPr>
  </w:style>
  <w:style w:type="paragraph" w:styleId="HeaderandFooter">
    <w:name w:val="Header and Footer"/>
    <w:basedOn w:val="Normal"/>
    <w:qFormat/>
    <w:pPr/>
    <w:rPr/>
  </w:style>
  <w:style w:type="paragraph" w:styleId="Header">
    <w:name w:val="Header"/>
    <w:basedOn w:val="Normal"/>
    <w:link w:val="HeaderChar"/>
    <w:uiPriority w:val="99"/>
    <w:unhideWhenUsed/>
    <w:rsid w:val="00a5359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a5359f"/>
    <w:pPr>
      <w:tabs>
        <w:tab w:val="clear" w:pos="720"/>
        <w:tab w:val="center" w:pos="4680" w:leader="none"/>
        <w:tab w:val="right" w:pos="9360" w:leader="none"/>
      </w:tabs>
      <w:spacing w:lineRule="auto" w:line="240" w:before="0" w:after="0"/>
    </w:pPr>
    <w:rPr/>
  </w:style>
  <w:style w:type="paragraph" w:styleId="Annotationtext">
    <w:name w:val="annotation text"/>
    <w:basedOn w:val="Normal"/>
    <w:link w:val="CommentTextChar"/>
    <w:uiPriority w:val="99"/>
    <w:semiHidden/>
    <w:unhideWhenUsed/>
    <w:qFormat/>
    <w:pPr>
      <w:spacing w:lineRule="auto" w:line="240"/>
    </w:pPr>
    <w:rPr>
      <w:sz w:val="20"/>
      <w:szCs w:val="20"/>
    </w:rPr>
  </w:style>
  <w:style w:type="paragraph" w:styleId="EndNoteBibliographyTitle" w:customStyle="1">
    <w:name w:val="EndNote Bibliography Title"/>
    <w:basedOn w:val="Normal"/>
    <w:link w:val="EndNoteBibliographyTitleChar"/>
    <w:qFormat/>
    <w:rsid w:val="00af4b8d"/>
    <w:pPr>
      <w:spacing w:before="0" w:after="0"/>
      <w:jc w:val="center"/>
    </w:pPr>
    <w:rPr>
      <w:rFonts w:ascii="Aptos" w:hAnsi="Aptos"/>
    </w:rPr>
  </w:style>
  <w:style w:type="paragraph" w:styleId="EndNoteBibliography" w:customStyle="1">
    <w:name w:val="EndNote Bibliography"/>
    <w:basedOn w:val="Normal"/>
    <w:link w:val="EndNoteBibliographyChar"/>
    <w:qFormat/>
    <w:rsid w:val="00af4b8d"/>
    <w:pPr>
      <w:spacing w:lineRule="auto" w:line="240"/>
    </w:pPr>
    <w:rPr>
      <w:rFonts w:ascii="Aptos" w:hAnsi="Aptos"/>
    </w:rPr>
  </w:style>
  <w:style w:type="paragraph" w:styleId="Annotationsubject">
    <w:name w:val="annotation subject"/>
    <w:basedOn w:val="Annotationtext"/>
    <w:next w:val="Annotationtext"/>
    <w:link w:val="CommentSubjectChar"/>
    <w:uiPriority w:val="99"/>
    <w:semiHidden/>
    <w:unhideWhenUsed/>
    <w:qFormat/>
    <w:rsid w:val="00862624"/>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7758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EBAD8-C20C-E84C-9129-4AE6A8AFA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LibreOffice/7.1.8.1$Linux_X86_64 LibreOffice_project/10$Build-1</Application>
  <AppVersion>15.0000</AppVersion>
  <Pages>22</Pages>
  <Words>5525</Words>
  <Characters>30324</Characters>
  <CharactersWithSpaces>35645</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2026-06-15T09:18:00Z</dcterms:created>
  <dc:creator>Melissa Huang</dc:creator>
  <dc:description/>
  <dc:language>en-GB</dc:language>
  <cp:lastModifiedBy>Melissa Huang</cp:lastModifiedBy>
  <dcterms:modified xsi:type="dcterms:W3CDTF">2026-06-15T15:01:00Z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