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1233">
      <w:pPr>
        <w:rPr>
          <w:rFonts w:hint="eastAsia"/>
        </w:rPr>
      </w:pPr>
      <w:r>
        <w:rPr>
          <w:rFonts w:hint="eastAsia"/>
        </w:rPr>
        <w:t>案例七：重型工程机械与基础设施装备行业</w:t>
      </w:r>
    </w:p>
    <w:p w14:paraId="1413A089">
      <w:pPr>
        <w:rPr>
          <w:rFonts w:hint="eastAsia"/>
        </w:rPr>
      </w:pPr>
      <w:r>
        <w:rPr>
          <w:rFonts w:hint="eastAsia"/>
        </w:rPr>
        <w:t>企业名称：三一重工股份有限公司（SANY Heavy Industry）</w:t>
      </w:r>
    </w:p>
    <w:p w14:paraId="7B2236DD">
      <w:pPr>
        <w:rPr>
          <w:rFonts w:hint="eastAsia"/>
        </w:rPr>
      </w:pPr>
    </w:p>
    <w:p w14:paraId="2D6A1DFA">
      <w:pPr>
        <w:rPr>
          <w:rFonts w:hint="eastAsia"/>
        </w:rPr>
      </w:pPr>
      <w:r>
        <w:rPr>
          <w:rFonts w:hint="eastAsia"/>
        </w:rPr>
        <w:t>企业画像：</w:t>
      </w:r>
    </w:p>
    <w:p w14:paraId="6CA20064">
      <w:pPr>
        <w:rPr>
          <w:rFonts w:hint="eastAsia"/>
        </w:rPr>
      </w:pPr>
    </w:p>
    <w:p w14:paraId="317A265A">
      <w:pPr>
        <w:rPr>
          <w:rFonts w:hint="eastAsia"/>
        </w:rPr>
      </w:pPr>
      <w:r>
        <w:rPr>
          <w:rFonts w:hint="eastAsia"/>
        </w:rPr>
        <w:t>基本概况：成立于1989年，总部位于湖南长沙，是中国最大的工程机械制造企业、全球顶尖的重型装备企业。</w:t>
      </w:r>
    </w:p>
    <w:p w14:paraId="285D15D0">
      <w:pPr>
        <w:rPr>
          <w:rFonts w:hint="eastAsia"/>
        </w:rPr>
      </w:pPr>
    </w:p>
    <w:p w14:paraId="27578EF5">
      <w:pPr>
        <w:rPr>
          <w:rFonts w:hint="eastAsia"/>
        </w:rPr>
      </w:pPr>
      <w:r>
        <w:rPr>
          <w:rFonts w:hint="eastAsia"/>
        </w:rPr>
        <w:t>主营业务与财务：主营挖掘机械、混凝土机械、起重机械等的研发与制造。近年来海外业务收入占比大幅增长（接近总营收的50%），产品覆盖亚非拉及美欧市场。</w:t>
      </w:r>
    </w:p>
    <w:p w14:paraId="45B03CE4">
      <w:pPr>
        <w:rPr>
          <w:rFonts w:hint="eastAsia"/>
        </w:rPr>
      </w:pPr>
    </w:p>
    <w:p w14:paraId="4928B93B">
      <w:pPr>
        <w:rPr>
          <w:rFonts w:hint="eastAsia"/>
        </w:rPr>
      </w:pPr>
      <w:r>
        <w:rPr>
          <w:rFonts w:hint="eastAsia"/>
        </w:rPr>
        <w:t>核心能力：拥有高度自动化的“灯塔工厂”制造能力以及全球化销服网络。</w:t>
      </w:r>
    </w:p>
    <w:p w14:paraId="2375CC93">
      <w:pPr>
        <w:rPr>
          <w:rFonts w:hint="eastAsia"/>
        </w:rPr>
      </w:pPr>
    </w:p>
    <w:p w14:paraId="1B8D012A">
      <w:pPr>
        <w:rPr>
          <w:rFonts w:hint="eastAsia"/>
        </w:rPr>
      </w:pPr>
      <w:r>
        <w:rPr>
          <w:rFonts w:hint="eastAsia"/>
        </w:rPr>
        <w:t>政策变动对其影响：</w:t>
      </w:r>
    </w:p>
    <w:p w14:paraId="5C9DEF46">
      <w:pPr>
        <w:rPr>
          <w:rFonts w:hint="eastAsia"/>
        </w:rPr>
      </w:pPr>
    </w:p>
    <w:p w14:paraId="2016DDFD">
      <w:pPr>
        <w:rPr>
          <w:rFonts w:hint="eastAsia"/>
        </w:rPr>
      </w:pPr>
      <w:r>
        <w:rPr>
          <w:rFonts w:hint="eastAsia"/>
        </w:rPr>
        <w:t>欧美关税政策与工业产品安全认证（如CE/EPA认证标准演进）：面对欧洲及欧美市场对进口重型装备的关税壁垒与碳排放/智能化安全审查（如机器指令与网络安全刚性要求），企业必须加速本土化研发与电动化产品转型。</w:t>
      </w:r>
    </w:p>
    <w:p w14:paraId="220EBADE">
      <w:pPr>
        <w:rPr>
          <w:rFonts w:hint="eastAsia"/>
        </w:rPr>
      </w:pPr>
    </w:p>
    <w:p w14:paraId="206F3431">
      <w:pPr>
        <w:rPr>
          <w:rFonts w:hint="eastAsia"/>
        </w:rPr>
      </w:pPr>
      <w:r>
        <w:rPr>
          <w:rFonts w:hint="eastAsia"/>
        </w:rPr>
        <w:t>“一带一路”政策与地缘冲突风险：企业深度受益于中国“一带一路”倡议推动的海外基础设施建设项目，但当目标东道国（如部分中亚、非洲或东欧国家）遭遇突发政权更迭、地缘冲突或外汇管制时，其海外项目面临结汇困难、资产冻结及工程中断风险。</w:t>
      </w:r>
    </w:p>
    <w:p w14:paraId="1D79BC51">
      <w:pPr>
        <w:rPr>
          <w:rFonts w:hint="eastAsia"/>
        </w:rPr>
      </w:pPr>
    </w:p>
    <w:p w14:paraId="6E1FB763">
      <w:pPr>
        <w:rPr>
          <w:rFonts w:hint="eastAsia"/>
        </w:rPr>
      </w:pPr>
      <w:r>
        <w:rPr>
          <w:rFonts w:hint="eastAsia"/>
        </w:rPr>
        <w:t>画像来源/出处：</w:t>
      </w:r>
    </w:p>
    <w:p w14:paraId="3A02C2F7">
      <w:pPr>
        <w:rPr>
          <w:rFonts w:hint="eastAsia"/>
        </w:rPr>
      </w:pPr>
    </w:p>
    <w:p w14:paraId="694C8AAA">
      <w:pPr>
        <w:rPr>
          <w:rFonts w:hint="eastAsia"/>
        </w:rPr>
      </w:pPr>
      <w:r>
        <w:rPr>
          <w:rFonts w:hint="eastAsia"/>
        </w:rPr>
        <w:t>来源：依据三一重工（SANY）年报及投资者关系报告、中国机械工业联合会（CMIF）行业统计以及相关国别风险评估报告综合整理。</w:t>
      </w:r>
    </w:p>
    <w:p w14:paraId="70972740">
      <w:pPr>
        <w:rPr>
          <w:rFonts w:hint="eastAsia"/>
        </w:rPr>
      </w:pPr>
    </w:p>
    <w:p w14:paraId="45393246">
      <w:pPr>
        <w:rPr>
          <w:rFonts w:hint="eastAsia"/>
        </w:rPr>
      </w:pPr>
      <w:r>
        <w:rPr>
          <w:rFonts w:hint="eastAsia"/>
        </w:rPr>
        <w:t>案例五：新能源光伏制造行业</w:t>
      </w:r>
    </w:p>
    <w:p w14:paraId="7EFB3A41">
      <w:pPr>
        <w:rPr>
          <w:rFonts w:hint="eastAsia"/>
        </w:rPr>
      </w:pPr>
      <w:r>
        <w:rPr>
          <w:rFonts w:hint="eastAsia"/>
        </w:rPr>
        <w:t>企业名称：天合光能股份有限公司（Trina Solar）</w:t>
      </w:r>
    </w:p>
    <w:p w14:paraId="7FD88B77">
      <w:pPr>
        <w:rPr>
          <w:rFonts w:hint="eastAsia"/>
        </w:rPr>
      </w:pPr>
    </w:p>
    <w:p w14:paraId="7F0C611F">
      <w:pPr>
        <w:rPr>
          <w:rFonts w:hint="eastAsia"/>
        </w:rPr>
      </w:pPr>
      <w:r>
        <w:rPr>
          <w:rFonts w:hint="eastAsia"/>
        </w:rPr>
        <w:t>企业画像：</w:t>
      </w:r>
    </w:p>
    <w:p w14:paraId="37492888">
      <w:pPr>
        <w:rPr>
          <w:rFonts w:hint="eastAsia"/>
        </w:rPr>
      </w:pPr>
    </w:p>
    <w:p w14:paraId="3A4E8963">
      <w:pPr>
        <w:rPr>
          <w:rFonts w:hint="eastAsia"/>
        </w:rPr>
      </w:pPr>
      <w:r>
        <w:rPr>
          <w:rFonts w:hint="eastAsia"/>
        </w:rPr>
        <w:t>基本概况：成立于1997年，总部位于江苏常州，全球领先的光伏智慧能源整体解决方案提供商。</w:t>
      </w:r>
    </w:p>
    <w:p w14:paraId="1C77AAAB">
      <w:pPr>
        <w:rPr>
          <w:rFonts w:hint="eastAsia"/>
        </w:rPr>
      </w:pPr>
    </w:p>
    <w:p w14:paraId="5BD4D4D7">
      <w:pPr>
        <w:rPr>
          <w:rFonts w:hint="eastAsia"/>
        </w:rPr>
      </w:pPr>
      <w:r>
        <w:rPr>
          <w:rFonts w:hint="eastAsia"/>
        </w:rPr>
        <w:t>主营业务与财务：主营光伏组件、跟踪支架及储能系统的研发与制造。光伏组件出货量长期位居全球前列，海外市场营收占比超一半。</w:t>
      </w:r>
    </w:p>
    <w:p w14:paraId="71EA32E2">
      <w:pPr>
        <w:rPr>
          <w:rFonts w:hint="eastAsia"/>
        </w:rPr>
      </w:pPr>
    </w:p>
    <w:p w14:paraId="2D5998C8">
      <w:pPr>
        <w:rPr>
          <w:rFonts w:hint="eastAsia"/>
        </w:rPr>
      </w:pPr>
      <w:r>
        <w:rPr>
          <w:rFonts w:hint="eastAsia"/>
        </w:rPr>
        <w:t>核心能力与布局：拥有先进的N型TOPCon电池技术，并在东南亚（越南、泰国）及美国本土建有产能基地。</w:t>
      </w:r>
    </w:p>
    <w:p w14:paraId="707009D4">
      <w:pPr>
        <w:rPr>
          <w:rFonts w:hint="eastAsia"/>
        </w:rPr>
      </w:pPr>
    </w:p>
    <w:p w14:paraId="2350DC66">
      <w:pPr>
        <w:rPr>
          <w:rFonts w:hint="eastAsia"/>
        </w:rPr>
      </w:pPr>
      <w:r>
        <w:rPr>
          <w:rFonts w:hint="eastAsia"/>
        </w:rPr>
        <w:t>政策变动对其影响：</w:t>
      </w:r>
    </w:p>
    <w:p w14:paraId="2E73A866">
      <w:pPr>
        <w:rPr>
          <w:rFonts w:hint="eastAsia"/>
        </w:rPr>
      </w:pPr>
    </w:p>
    <w:p w14:paraId="261A4ED8">
      <w:pPr>
        <w:rPr>
          <w:rFonts w:hint="eastAsia"/>
        </w:rPr>
      </w:pPr>
      <w:r>
        <w:rPr>
          <w:rFonts w:hint="eastAsia"/>
        </w:rPr>
        <w:t>美国“反规避”调查与东南亚光伏关税：美国商务部针对中国光伏企业利用东南亚四国（越南、泰国、马来西亚、柬埔寨）规避“双反”关税的政策调整，以及随后对东南亚相关产能加征反倾销/反补贴关税，迫使企业大幅调整供应链布局。</w:t>
      </w:r>
    </w:p>
    <w:p w14:paraId="57101993">
      <w:pPr>
        <w:rPr>
          <w:rFonts w:hint="eastAsia"/>
        </w:rPr>
      </w:pPr>
    </w:p>
    <w:p w14:paraId="68A39308">
      <w:pPr>
        <w:rPr>
          <w:rFonts w:hint="eastAsia"/>
        </w:rPr>
      </w:pPr>
      <w:r>
        <w:rPr>
          <w:rFonts w:hint="eastAsia"/>
        </w:rPr>
        <w:t>美国《涉疆法案》（UFLPA）与供应链追溯：美国海关对进口光伏组件的硅料来源提出极严苛的“供应链溯源证明”要求，导致企业需重构其原材料采购供应链，明确区分“中国本土市场”与“北美合规出口市场”的供应链体系。</w:t>
      </w:r>
    </w:p>
    <w:p w14:paraId="2EA044A0">
      <w:pPr>
        <w:rPr>
          <w:rFonts w:hint="eastAsia"/>
        </w:rPr>
      </w:pPr>
    </w:p>
    <w:p w14:paraId="76D2EC63">
      <w:pPr>
        <w:rPr>
          <w:rFonts w:hint="eastAsia"/>
        </w:rPr>
      </w:pPr>
      <w:r>
        <w:rPr>
          <w:rFonts w:hint="eastAsia"/>
        </w:rPr>
        <w:t>画像来源/出处：</w:t>
      </w:r>
    </w:p>
    <w:p w14:paraId="1BB76909">
      <w:pPr>
        <w:rPr>
          <w:rFonts w:hint="eastAsia"/>
        </w:rPr>
      </w:pPr>
    </w:p>
    <w:p w14:paraId="608C4DEF">
      <w:pPr>
        <w:rPr>
          <w:rFonts w:hint="eastAsia"/>
        </w:rPr>
      </w:pPr>
      <w:r>
        <w:rPr>
          <w:rFonts w:hint="eastAsia"/>
        </w:rPr>
        <w:t>来源：依据天合光能（Trina Solar）企业公告、美国商务部光伏反规避调查裁决公示及美国海关与边境保护局（CBP）监管政策文件综合整理。</w:t>
      </w:r>
    </w:p>
    <w:p w14:paraId="304AA764">
      <w:pPr>
        <w:rPr>
          <w:rFonts w:hint="eastAsia"/>
        </w:rPr>
      </w:pPr>
    </w:p>
    <w:p w14:paraId="5627C035">
      <w:pPr>
        <w:rPr>
          <w:rFonts w:hint="eastAsia"/>
        </w:rPr>
      </w:pPr>
      <w:r>
        <w:rPr>
          <w:rFonts w:hint="eastAsia"/>
        </w:rPr>
        <w:t>医药生物/CXO（医药合同定制研发生产）行业</w:t>
      </w:r>
    </w:p>
    <w:p w14:paraId="5C04B25B">
      <w:pPr>
        <w:rPr>
          <w:rFonts w:hint="eastAsia"/>
        </w:rPr>
      </w:pPr>
      <w:r>
        <w:rPr>
          <w:rFonts w:hint="eastAsia"/>
        </w:rPr>
        <w:t>企业名称：无锡药明康德新药开发股份有限公司（WuXi AppTec）</w:t>
      </w:r>
    </w:p>
    <w:p w14:paraId="1515234C">
      <w:pPr>
        <w:rPr>
          <w:rFonts w:hint="eastAsia"/>
        </w:rPr>
      </w:pPr>
    </w:p>
    <w:p w14:paraId="274C2669">
      <w:pPr>
        <w:rPr>
          <w:rFonts w:hint="eastAsia"/>
        </w:rPr>
      </w:pPr>
      <w:r>
        <w:rPr>
          <w:rFonts w:hint="eastAsia"/>
        </w:rPr>
        <w:t>企业画像：</w:t>
      </w:r>
    </w:p>
    <w:p w14:paraId="085F670C">
      <w:pPr>
        <w:rPr>
          <w:rFonts w:hint="eastAsia"/>
        </w:rPr>
      </w:pPr>
    </w:p>
    <w:p w14:paraId="76A9F6F4">
      <w:pPr>
        <w:rPr>
          <w:rFonts w:hint="eastAsia"/>
        </w:rPr>
      </w:pPr>
      <w:r>
        <w:rPr>
          <w:rFonts w:hint="eastAsia"/>
        </w:rPr>
        <w:t>基本概况：成立于2000年，总部位于江苏无锡，全球顶尖的开放式医药研发服务平台（CXO巨头）。</w:t>
      </w:r>
    </w:p>
    <w:p w14:paraId="2F5DF661">
      <w:pPr>
        <w:rPr>
          <w:rFonts w:hint="eastAsia"/>
        </w:rPr>
      </w:pPr>
    </w:p>
    <w:p w14:paraId="5462F8E6">
      <w:pPr>
        <w:rPr>
          <w:rFonts w:hint="eastAsia"/>
        </w:rPr>
      </w:pPr>
      <w:r>
        <w:rPr>
          <w:rFonts w:hint="eastAsia"/>
        </w:rPr>
        <w:t>主营业务与财务：为全球生物医药行业提供全产业链的CRDMO（合同研究、开发与生产）及CTDMO服务。其约65%以上的营业收入直接来自美国及欧洲的跨国药企和初创生物技术公司。</w:t>
      </w:r>
    </w:p>
    <w:p w14:paraId="2E333AEA">
      <w:pPr>
        <w:rPr>
          <w:rFonts w:hint="eastAsia"/>
        </w:rPr>
      </w:pPr>
    </w:p>
    <w:p w14:paraId="27CD3807">
      <w:pPr>
        <w:rPr>
          <w:rFonts w:hint="eastAsia"/>
        </w:rPr>
      </w:pPr>
      <w:r>
        <w:rPr>
          <w:rFonts w:hint="eastAsia"/>
        </w:rPr>
        <w:t>核心能力：拥有极其高效且性价比极高的研发与生产能力，深耕全球前20大药企供应链。</w:t>
      </w:r>
    </w:p>
    <w:p w14:paraId="204B64F6">
      <w:pPr>
        <w:rPr>
          <w:rFonts w:hint="eastAsia"/>
        </w:rPr>
      </w:pPr>
    </w:p>
    <w:p w14:paraId="4D4D378F">
      <w:pPr>
        <w:rPr>
          <w:rFonts w:hint="eastAsia"/>
        </w:rPr>
      </w:pPr>
      <w:r>
        <w:rPr>
          <w:rFonts w:hint="eastAsia"/>
        </w:rPr>
        <w:t>政策变动对其影响：</w:t>
      </w:r>
    </w:p>
    <w:p w14:paraId="5489DB2B">
      <w:pPr>
        <w:rPr>
          <w:rFonts w:hint="eastAsia"/>
        </w:rPr>
      </w:pPr>
    </w:p>
    <w:p w14:paraId="66E42F96">
      <w:pPr>
        <w:rPr>
          <w:rFonts w:hint="eastAsia"/>
        </w:rPr>
      </w:pPr>
      <w:r>
        <w:rPr>
          <w:rFonts w:hint="eastAsia"/>
        </w:rPr>
        <w:t>美国《生物安全法案》（BIOSECURE Act）：美国国会及相关法案将药明康德等特定中国生物技术公司列入“关注实体”，限制美国联邦资金支持的项目及药企与相关企业合作。</w:t>
      </w:r>
    </w:p>
    <w:p w14:paraId="51E6BE6E">
      <w:pPr>
        <w:rPr>
          <w:rFonts w:hint="eastAsia"/>
        </w:rPr>
      </w:pPr>
    </w:p>
    <w:p w14:paraId="19A1D066">
      <w:pPr>
        <w:rPr>
          <w:rFonts w:hint="eastAsia"/>
        </w:rPr>
      </w:pPr>
      <w:r>
        <w:rPr>
          <w:rFonts w:hint="eastAsia"/>
        </w:rPr>
        <w:t>供应链重组与订单转移风险：虽然海外药企短期内对中国的CXO产能存在强依赖，但政策风险迫使其海外客户寻求备用供应链（如转向印度、欧洲或美国本土产能），促使药明康德加速全球化多中心布局（如扩建新加坡、欧洲研发生产基地）以分散单一国别政策风险。</w:t>
      </w:r>
    </w:p>
    <w:p w14:paraId="0C0443BF">
      <w:pPr>
        <w:rPr>
          <w:rFonts w:hint="eastAsia"/>
        </w:rPr>
      </w:pPr>
    </w:p>
    <w:p w14:paraId="54A77757">
      <w:pPr>
        <w:rPr>
          <w:rFonts w:hint="eastAsia"/>
        </w:rPr>
      </w:pPr>
      <w:r>
        <w:rPr>
          <w:rFonts w:hint="eastAsia"/>
        </w:rPr>
        <w:t>画像来源/出处：</w:t>
      </w:r>
    </w:p>
    <w:p w14:paraId="144FAD32">
      <w:pPr>
        <w:rPr>
          <w:rFonts w:hint="eastAsia"/>
        </w:rPr>
      </w:pPr>
    </w:p>
    <w:p w14:paraId="0F04127B">
      <w:pPr>
        <w:rPr>
          <w:rFonts w:hint="eastAsia"/>
        </w:rPr>
      </w:pPr>
      <w:r>
        <w:rPr>
          <w:rFonts w:hint="eastAsia"/>
        </w:rPr>
        <w:t>来源：依据公开的药明康德（WuXi AppTec）企业财报、美国《生物安全法案》（BIOSECURE Act）立法进程草案及国内外生物医药行业研究报告综合整理。</w:t>
      </w:r>
    </w:p>
    <w:p w14:paraId="5B4B1BAD">
      <w:pPr>
        <w:rPr>
          <w:rFonts w:hint="eastAsia"/>
        </w:rPr>
      </w:pPr>
    </w:p>
    <w:p w14:paraId="45C77FB8">
      <w:pPr>
        <w:rPr>
          <w:rFonts w:hint="eastAsia"/>
        </w:rPr>
      </w:pPr>
      <w:r>
        <w:rPr>
          <w:rFonts w:hint="eastAsia"/>
        </w:rPr>
        <w:t>案例二：新能源汽车与动力电池行业（真实企业/行业典型画像）</w:t>
      </w:r>
    </w:p>
    <w:p w14:paraId="1A75E7A6">
      <w:pPr>
        <w:rPr>
          <w:rFonts w:hint="eastAsia"/>
        </w:rPr>
      </w:pPr>
      <w:r>
        <w:rPr>
          <w:rFonts w:hint="eastAsia"/>
        </w:rPr>
        <w:t>企业名称：宁德时代新能源科技股份有限公司（CATL）</w:t>
      </w:r>
    </w:p>
    <w:p w14:paraId="7D8A0152">
      <w:pPr>
        <w:rPr>
          <w:rFonts w:hint="eastAsia"/>
        </w:rPr>
      </w:pPr>
    </w:p>
    <w:p w14:paraId="53054A87">
      <w:pPr>
        <w:rPr>
          <w:rFonts w:hint="eastAsia"/>
        </w:rPr>
      </w:pPr>
      <w:r>
        <w:rPr>
          <w:rFonts w:hint="eastAsia"/>
        </w:rPr>
        <w:t>企业画像：</w:t>
      </w:r>
    </w:p>
    <w:p w14:paraId="69CBB867">
      <w:pPr>
        <w:rPr>
          <w:rFonts w:hint="eastAsia"/>
        </w:rPr>
      </w:pPr>
    </w:p>
    <w:p w14:paraId="615E7DB9">
      <w:pPr>
        <w:rPr>
          <w:rFonts w:hint="eastAsia"/>
        </w:rPr>
      </w:pPr>
      <w:r>
        <w:rPr>
          <w:rFonts w:hint="eastAsia"/>
        </w:rPr>
        <w:t>基本概况：成立于2011年，总部位于福建宁德，是全球最大的动力电池制造商，也是中国新能源汽车产业链核心出海企业。</w:t>
      </w:r>
    </w:p>
    <w:p w14:paraId="095715A2">
      <w:pPr>
        <w:rPr>
          <w:rFonts w:hint="eastAsia"/>
        </w:rPr>
      </w:pPr>
    </w:p>
    <w:p w14:paraId="3A2820FE">
      <w:pPr>
        <w:rPr>
          <w:rFonts w:hint="eastAsia"/>
        </w:rPr>
      </w:pPr>
      <w:r>
        <w:rPr>
          <w:rFonts w:hint="eastAsia"/>
        </w:rPr>
        <w:t>主营业务与财务：主营锂离子电池、储能系统等的研发与制造。全球动力电池装车量连续多年位居全球首位，海外市场（尤其是欧洲、北美）是其增长的核心引擎。</w:t>
      </w:r>
    </w:p>
    <w:p w14:paraId="47A2E678">
      <w:pPr>
        <w:rPr>
          <w:rFonts w:hint="eastAsia"/>
        </w:rPr>
      </w:pPr>
    </w:p>
    <w:p w14:paraId="592531F4">
      <w:pPr>
        <w:rPr>
          <w:rFonts w:hint="eastAsia"/>
        </w:rPr>
      </w:pPr>
      <w:r>
        <w:rPr>
          <w:rFonts w:hint="eastAsia"/>
        </w:rPr>
        <w:t>核心能力与模式：具备极强的电池研发与规模化降本能力，通过直接出海建厂（如德国、匈牙利）以及技术授权模式（LRS/LIC，如与福特合作）布局海外。</w:t>
      </w:r>
    </w:p>
    <w:p w14:paraId="56C2C072">
      <w:pPr>
        <w:rPr>
          <w:rFonts w:hint="eastAsia"/>
        </w:rPr>
      </w:pPr>
    </w:p>
    <w:p w14:paraId="21E81929">
      <w:pPr>
        <w:rPr>
          <w:rFonts w:hint="eastAsia"/>
        </w:rPr>
      </w:pPr>
      <w:r>
        <w:rPr>
          <w:rFonts w:hint="eastAsia"/>
        </w:rPr>
        <w:t>政策变动对其影响：</w:t>
      </w:r>
    </w:p>
    <w:p w14:paraId="19C7A4F0">
      <w:pPr>
        <w:rPr>
          <w:rFonts w:hint="eastAsia"/>
        </w:rPr>
      </w:pPr>
    </w:p>
    <w:p w14:paraId="595E5AF5">
      <w:pPr>
        <w:rPr>
          <w:rFonts w:hint="eastAsia"/>
        </w:rPr>
      </w:pPr>
      <w:r>
        <w:rPr>
          <w:rFonts w:hint="eastAsia"/>
        </w:rPr>
        <w:t>美国《降低通胀法案》（IRA）与 FEOC 限制：美国针对“外国关注实体（FEOC）”的税收抵免限制以及对中国电池零部件的补贴剥夺政策，迫使其调整对美投资策略，无法直接在美独资建厂，转而采用许可技术授权模式以合规避险。</w:t>
      </w:r>
    </w:p>
    <w:p w14:paraId="1C847685">
      <w:pPr>
        <w:rPr>
          <w:rFonts w:hint="eastAsia"/>
        </w:rPr>
      </w:pPr>
    </w:p>
    <w:p w14:paraId="481ACF47">
      <w:pPr>
        <w:rPr>
          <w:rFonts w:hint="eastAsia"/>
        </w:rPr>
      </w:pPr>
      <w:r>
        <w:rPr>
          <w:rFonts w:hint="eastAsia"/>
        </w:rPr>
        <w:t>欧盟《新电池法案》与碳足迹要求：欧盟实施电池全生命周期碳足迹申报、数字电池护照及回收比例刚性要求，迫使企业大幅升级其上游供应链的绿色低碳认证与数据溯源系统。</w:t>
      </w:r>
    </w:p>
    <w:p w14:paraId="077A8AC6">
      <w:pPr>
        <w:rPr>
          <w:rFonts w:hint="eastAsia"/>
        </w:rPr>
      </w:pPr>
    </w:p>
    <w:p w14:paraId="69653CBF">
      <w:pPr>
        <w:rPr>
          <w:rFonts w:hint="eastAsia"/>
        </w:rPr>
      </w:pPr>
      <w:r>
        <w:rPr>
          <w:rFonts w:hint="eastAsia"/>
        </w:rPr>
        <w:t>画像来源/出处：</w:t>
      </w:r>
    </w:p>
    <w:p w14:paraId="496FB608">
      <w:pPr>
        <w:rPr>
          <w:rFonts w:hint="eastAsia"/>
        </w:rPr>
      </w:pPr>
    </w:p>
    <w:p w14:paraId="61A5D0F3">
      <w:pPr>
        <w:rPr>
          <w:rFonts w:hint="eastAsia"/>
        </w:rPr>
      </w:pPr>
      <w:r>
        <w:rPr>
          <w:rFonts w:hint="eastAsia"/>
        </w:rPr>
        <w:t>来源：基于公开发布的宁德时代（CATL）企业年报、美国 IRA 法案细则、欧盟《新电池法》（EU Battery Regulation）等公开政策及行业研究报告梳理提炼。</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85CFF"/>
    <w:rsid w:val="28E85CFF"/>
    <w:rsid w:val="2920604A"/>
    <w:rsid w:val="7DBD2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eastAsia="宋体" w:asciiTheme="minorAscii" w:hAnsiTheme="minorAscii"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宋体"/>
      <w:b/>
      <w:bCs/>
      <w:kern w:val="0"/>
      <w:sz w:val="32"/>
      <w:szCs w:val="36"/>
      <w:lang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2026-08-30T06:54:00Z</dcterms:created>
  <dc:creator>喂.</dc:creator>
  <cp:lastModifiedBy>喂.</cp:lastModifiedBy>
  <dcterms:modified xsi:type="dcterms:W3CDTF">2026-08-30T06:55:44Z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859B1C6671B84AE0A5C973B1F151849A_11</vt:lpwstr>
  </property>
  <property fmtid="{D5CDD505-2E9C-101B-9397-08002B2CF9AE}" pid="4" name="KSOTemplateDocerSaveRecord">
    <vt:lpwstr>eyJoZGlkIjoiMmZmMDc2MjVlMmVmNDA1OTIwZmY3MGRjZmIzYWY4N2QiLCJ1c2VySWQiOiI4NTQ0MzA4MTkifQ==</vt:lpwstr>
  </property>
</Properties>
</file>