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0E6E3A"/>
          <w:sz w:val="16"/>
          <w:szCs w:val="16"/>
        </w:rPr>
        <w:t xml:space="preserve">A1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Alle kommen ans Openair</w:t>
      </w:r>
    </w:p>
    <w:p>
      <w:pPr>
        <w:spacing w:after="80" w:before="0"/>
      </w:pPr>
      <w:r>
        <w:rPr>
          <w:rFonts w:ascii="Consolas" w:cs="Consolas" w:eastAsia="Consolas" w:hAnsi="Consolas"/>
          <w:b/>
          <w:bCs/>
          <w:color w:val="0E6E3A"/>
          <w:sz w:val="14"/>
          <w:szCs w:val="14"/>
        </w:rPr>
        <w:t xml:space="preserve">PERSONA   </w:t>
      </w:r>
      <w:r>
        <w:rPr>
          <w:color w:val="4A5057"/>
          <w:sz w:val="18"/>
          <w:szCs w:val="18"/>
        </w:rPr>
        <w:t xml:space="preserve">Lernende/r EFZ, 1. Lehrjahr · eigener Lehrbetrieb · eigener Wohnort</w:t>
      </w:r>
    </w:p>
    <w:p>
      <w:pPr>
        <w:spacing w:after="120" w:before="0" w:line="276" w:lineRule="auto"/>
      </w:pPr>
      <w:r>
        <w:rPr>
          <w:sz w:val="20"/>
          <w:szCs w:val="20"/>
        </w:rPr>
        <w:t xml:space="preserve">Ich bin im 1. Lehrjahr. In unserem Gruppenchat steht seit gestern: «Openair im Juli — alle kommen, Frühbucherpreis nur bis Sonntag!» Der 3-Tages-Pass kostet 260 Franken, dazu kommen Camping, Essen und Zug, zusammen rund 180 Franken. Ein Tagespass kostet 110 Franken. Auf meinem Sparkonto liegen 300 Franken; die habe ich für die Zahnarztrechnung im Herbst zurückgelegt. Mein Lohn reicht seit den Anpassungen knapp bis Monatsende. Zwei Kollegen haben schon gebucht und schreiben: «Ohne dich ist es nur halb so lustig.» Ich will bis Sonntag entscheiden — ganz, einen Tag oder gar nicht — und meinen Entscheid der Gruppe so erklären, dass ich dazu stehen kann.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tcPr>
                  <w:tcW w:type="pct" w:w="72%"/>
                  <w:tcBorders>
                    <w:top w:val="nil" w:sz="0"/>
                    <w:left w:val="nil" w:sz="0"/>
                    <w:bottom w:val="single" w:color="0E6E3A" w:sz="12"/>
                    <w:right w:val="nil" w:sz="0"/>
                  </w:tcBorders>
                  <w:tcMar>
                    <w:top w:type="dxa" w:w="2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color w:val="0E6E3A"/>
                      <w:sz w:val="14"/>
                      <w:szCs w:val="14"/>
                    </w:rPr>
                    <w:t xml:space="preserve">ZAHLEN</w:t>
                  </w:r>
                </w:p>
              </w:tc>
              <w:tc>
                <w:tcPr>
                  <w:tcW w:type="pct" w:w="28%"/>
                  <w:tcBorders>
                    <w:top w:val="nil" w:sz="0"/>
                    <w:left w:val="nil" w:sz="0"/>
                    <w:bottom w:val="single" w:color="0E6E3A" w:sz="12"/>
                    <w:right w:val="nil" w:sz="0"/>
                  </w:tcBorders>
                  <w:tcMar>
                    <w:top w:type="dxa" w:w="2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bCs/>
                      <w:color w:val="0E6E3A"/>
                      <w:sz w:val="14"/>
                      <w:szCs w:val="14"/>
                    </w:rPr>
                    <w:t xml:space="preserve">BETRAG</w:t>
                  </w:r>
                </w:p>
              </w:tc>
            </w:tr>
            <w:tr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8"/>
                      <w:szCs w:val="18"/>
                    </w:rPr>
                    <w:t xml:space="preserve">3-Tages-Pass (Frühbucher)</w:t>
                  </w:r>
                </w:p>
              </w:tc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CHF 260</w:t>
                  </w:r>
                </w:p>
              </w:tc>
            </w:tr>
            <w:tr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8"/>
                      <w:szCs w:val="18"/>
                    </w:rPr>
                    <w:t xml:space="preserve">Camping, Essen, Zug (ca.)</w:t>
                  </w:r>
                </w:p>
              </w:tc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CHF 180</w:t>
                  </w:r>
                </w:p>
              </w:tc>
            </w:tr>
            <w:tr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8"/>
                      <w:szCs w:val="18"/>
                    </w:rPr>
                    <w:t xml:space="preserve">Tagespass</w:t>
                  </w:r>
                </w:p>
              </w:tc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CHF 110</w:t>
                  </w:r>
                </w:p>
              </w:tc>
            </w:tr>
            <w:tr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8"/>
                      <w:szCs w:val="18"/>
                    </w:rPr>
                    <w:t xml:space="preserve">Sparkonto (Rückstellung Zahnarzt)</w:t>
                  </w:r>
                </w:p>
              </w:tc>
              <w:tc>
                <w:tcPr>
                  <w:tcBorders>
                    <w:top w:val="nil" w:sz="0"/>
                    <w:left w:val="nil" w:sz="0"/>
                    <w:bottom w:val="single" w:color="EBEDF0" w:sz="2"/>
                    <w:right w:val="nil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CHF 300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8DBE0" w:sz="4"/>
                    <w:left w:val="single" w:color="0E6E3A" w:sz="24"/>
                    <w:bottom w:val="single" w:color="D8DBE0" w:sz="4"/>
                    <w:right w:val="single" w:color="D8DBE0" w:sz="4"/>
                  </w:tcBorders>
                  <w:tcMar>
                    <w:top w:type="dxa" w:w="6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E6E3A"/>
                      <w:sz w:val="14"/>
                      <w:szCs w:val="14"/>
                    </w:rPr>
                    <w:t xml:space="preserve">LEITFRAGE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Gehe ich ans Openair — ganz, einen Tag oder gar nicht — und wie begründe ich meinen Entscheid vor mir und vor der Gruppe?</w:t>
                  </w:r>
                </w:p>
              </w:tc>
            </w:tr>
          </w:tbl>
          <w:p>
            <w:pPr>
              <w:spacing w:after="0" w:before="0" w:line="100" w:lineRule="exact"/>
            </w:pP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dashed" w:color="0E6E3A" w:sz="6"/>
                    <w:left w:val="dashed" w:color="0E6E3A" w:sz="6"/>
                    <w:bottom w:val="dashed" w:color="0E6E3A" w:sz="6"/>
                    <w:right w:val="dashed" w:color="0E6E3A" w:sz="6"/>
                  </w:tcBorders>
                  <w:tcMar>
                    <w:top w:type="dxa" w:w="6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E6E3A"/>
                      <w:sz w:val="14"/>
                      <w:szCs w:val="14"/>
                    </w:rPr>
                    <w:t xml:space="preserve">SPANNUNGSFELD</w:t>
                  </w:r>
                </w:p>
                <w:p>
                  <w:pPr>
                    <w:spacing w:after="20" w:before="0" w:line="264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Dazugehören jetzt vs. Rückstellung für später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color w:val="4A5057"/>
                      <w:sz w:val="18"/>
                      <w:szCs w:val="18"/>
                    </w:rPr>
                    <w:t xml:space="preserve">Alle drei Varianten sind vertretbar, wenn Sie sie durchrechnen und begründen.</w:t>
                  </w:r>
                </w:p>
              </w:tc>
            </w:tr>
          </w:tbl>
          <w:p/>
        </w:tc>
      </w:tr>
    </w:tbl>
    <w:p>
      <w:pPr>
        <w:spacing w:after="0" w:before="0" w:line="140" w:lineRule="exac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DBE0" w:sz="4"/>
              <w:left w:val="single" w:color="0E6E3A" w:sz="24"/>
              <w:bottom w:val="single" w:color="D8DBE0" w:sz="4"/>
              <w:right w:val="single" w:color="D8DBE0" w:sz="4"/>
            </w:tcBorders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IHR AUFTRAG</w:t>
            </w:r>
          </w:p>
          <w:p>
            <w:pPr>
              <w:spacing w:after="60" w:before="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Treffen Sie Ihren Entscheid mit den Werkzeugen aus Heft A und Heft B und erklären Sie ihn der Gruppe.</w:t>
            </w:r>
          </w:p>
          <w:p>
            <w:pPr>
              <w:tabs>
                <w:tab w:val="left" w:pos="450"/>
              </w:tabs>
              <w:spacing w:after="50" w:before="0" w:line="260" w:lineRule="auto"/>
              <w:ind w:left="450" w:hanging="45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01	</w:t>
            </w:r>
            <w:r>
              <w:rPr>
                <w:b/>
                <w:bCs/>
                <w:sz w:val="19"/>
                <w:szCs w:val="19"/>
              </w:rPr>
              <w:t xml:space="preserve">Bedürfnis klären</w:t>
            </w:r>
            <w:r>
              <w:rPr>
                <w:sz w:val="19"/>
                <w:szCs w:val="19"/>
              </w:rPr>
              <w:t xml:space="preserve"> — Welches Bedürfnis steckt hinter dem Wunsch, welcher Einfluss wirkt von aussen? Wenden Sie Ihren Massstab aus Heft A an.</w:t>
            </w:r>
          </w:p>
          <w:p>
            <w:pPr>
              <w:tabs>
                <w:tab w:val="left" w:pos="450"/>
              </w:tabs>
              <w:spacing w:after="50" w:before="0" w:line="260" w:lineRule="auto"/>
              <w:ind w:left="450" w:hanging="45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02	</w:t>
            </w:r>
            <w:r>
              <w:rPr>
                <w:b/>
                <w:bCs/>
                <w:sz w:val="19"/>
                <w:szCs w:val="19"/>
              </w:rPr>
              <w:t xml:space="preserve">Durchrechnen</w:t>
            </w:r>
            <w:r>
              <w:rPr>
                <w:sz w:val="19"/>
                <w:szCs w:val="19"/>
              </w:rPr>
              <w:t xml:space="preserve"> — Rechnen Sie die drei Varianten gegen Ihr Budget und Ihre Rückstellung (Heft B). Was passiert, wenn im Herbst die Zahnarztrechnung kommt?</w:t>
            </w:r>
          </w:p>
          <w:p>
            <w:pPr>
              <w:tabs>
                <w:tab w:val="left" w:pos="450"/>
              </w:tabs>
              <w:spacing w:after="50" w:before="0" w:line="260" w:lineRule="auto"/>
              <w:ind w:left="450" w:hanging="45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03	</w:t>
            </w:r>
            <w:r>
              <w:rPr>
                <w:b/>
                <w:bCs/>
                <w:sz w:val="19"/>
                <w:szCs w:val="19"/>
              </w:rPr>
              <w:t xml:space="preserve">Entscheiden</w:t>
            </w:r>
            <w:r>
              <w:rPr>
                <w:sz w:val="19"/>
                <w:szCs w:val="19"/>
              </w:rPr>
              <w:t xml:space="preserve"> — Wählen Sie eine Variante und eine Schutzregel aus Heft B, die dazu passt.</w:t>
            </w:r>
          </w:p>
          <w:p>
            <w:pPr>
              <w:tabs>
                <w:tab w:val="left" w:pos="450"/>
              </w:tabs>
              <w:spacing w:after="50" w:before="0" w:line="260" w:lineRule="auto"/>
              <w:ind w:left="450" w:hanging="45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04	</w:t>
            </w:r>
            <w:r>
              <w:rPr>
                <w:b/>
                <w:bCs/>
                <w:sz w:val="19"/>
                <w:szCs w:val="19"/>
              </w:rPr>
              <w:t xml:space="preserve">Entscheidungsblatt</w:t>
            </w:r>
            <w:r>
              <w:rPr>
                <w:sz w:val="19"/>
                <w:szCs w:val="19"/>
              </w:rPr>
              <w:t xml:space="preserve"> — Ein Blatt: Bedürfnis-Check · Rechnung der drei Varianten · Entscheid mit Begründung · Schutzregel.</w:t>
            </w:r>
          </w:p>
          <w:p>
            <w:pPr>
              <w:tabs>
                <w:tab w:val="left" w:pos="450"/>
              </w:tabs>
              <w:spacing w:after="50" w:before="0" w:line="260" w:lineRule="auto"/>
              <w:ind w:left="450" w:hanging="45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05	</w:t>
            </w:r>
            <w:r>
              <w:rPr>
                <w:b/>
                <w:bCs/>
                <w:sz w:val="19"/>
                <w:szCs w:val="19"/>
              </w:rPr>
              <w:t xml:space="preserve">Sprachnachricht</w:t>
            </w:r>
            <w:r>
              <w:rPr>
                <w:sz w:val="19"/>
                <w:szCs w:val="19"/>
              </w:rPr>
              <w:t xml:space="preserve"> — 60–90 Sekunden an die Gruppe: Entscheid, ein Grund, der für Sie zählt, und ein Satz, der zeigt, dass Sie die Gruppe verstehen.</w:t>
            </w:r>
          </w:p>
        </w:tc>
      </w:tr>
    </w:tbl>
    <w:p>
      <w:pPr>
        <w:spacing w:after="0" w:before="0" w:line="140" w:lineRule="exac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8DBE0" w:sz="4"/>
                    <w:left w:val="single" w:color="0E6E3A" w:sz="24"/>
                    <w:bottom w:val="single" w:color="D8DBE0" w:sz="4"/>
                    <w:right w:val="single" w:color="D8DBE0" w:sz="4"/>
                  </w:tcBorders>
                  <w:tcMar>
                    <w:top w:type="dxa" w:w="6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E6E3A"/>
                      <w:sz w:val="14"/>
                      <w:szCs w:val="14"/>
                    </w:rPr>
                    <w:t xml:space="preserve">DAS GEBEN SIE AB</w:t>
                  </w:r>
                </w:p>
                <w:p>
                  <w:pPr>
                    <w:spacing w:after="30" w:before="0" w:line="260" w:lineRule="auto"/>
                    <w:ind w:left="300" w:hanging="300"/>
                  </w:pPr>
                  <w:r>
                    <w:rPr>
                      <w:b/>
                      <w:bCs/>
                      <w:color w:val="0E6E3A"/>
                      <w:sz w:val="18"/>
                      <w:szCs w:val="18"/>
                    </w:rPr>
                    <w:t xml:space="preserve">☐  </w:t>
                  </w:r>
                  <w:r>
                    <w:rPr>
                      <w:sz w:val="18"/>
                      <w:szCs w:val="18"/>
                    </w:rPr>
                    <w:t xml:space="preserve">Entscheidungsblatt A4 (schriftlich und bildlich)</w:t>
                  </w:r>
                </w:p>
                <w:p>
                  <w:pPr>
                    <w:spacing w:after="30" w:before="0" w:line="260" w:lineRule="auto"/>
                    <w:ind w:left="300" w:hanging="300"/>
                  </w:pPr>
                  <w:r>
                    <w:rPr>
                      <w:b/>
                      <w:bCs/>
                      <w:color w:val="0E6E3A"/>
                      <w:sz w:val="18"/>
                      <w:szCs w:val="18"/>
                    </w:rPr>
                    <w:t xml:space="preserve">☐  </w:t>
                  </w:r>
                  <w:r>
                    <w:rPr>
                      <w:sz w:val="18"/>
                      <w:szCs w:val="18"/>
                    </w:rPr>
                    <w:t xml:space="preserve">Sprachnachricht 60–90 Sekunden: live oder als Aufnahme direkt an die Lehrperson</w:t>
                  </w:r>
                </w:p>
                <w:p>
                  <w:pPr>
                    <w:spacing w:after="30" w:before="0" w:line="260" w:lineRule="auto"/>
                    <w:ind w:left="300" w:hanging="300"/>
                  </w:pPr>
                  <w:r>
                    <w:rPr>
                      <w:b/>
                      <w:bCs/>
                      <w:color w:val="0E6E3A"/>
                      <w:sz w:val="18"/>
                      <w:szCs w:val="18"/>
                    </w:rPr>
                    <w:t xml:space="preserve">☐  </w:t>
                  </w:r>
                  <w:r>
                    <w:rPr>
                      <w:sz w:val="18"/>
                      <w:szCs w:val="18"/>
                    </w:rPr>
                    <w:t xml:space="preserve">Selbsteinschätzung auf den 4 KN-Kriterien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8DBE0" w:sz="4"/>
                    <w:left w:val="single" w:color="0E6E3A" w:sz="24"/>
                    <w:bottom w:val="single" w:color="D8DBE0" w:sz="4"/>
                    <w:right w:val="single" w:color="D8DBE0" w:sz="4"/>
                  </w:tcBorders>
                  <w:tcMar>
                    <w:top w:type="dxa" w:w="6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E6E3A"/>
                      <w:sz w:val="14"/>
                      <w:szCs w:val="14"/>
                    </w:rPr>
                    <w:t xml:space="preserve">SOZIALFORM</w:t>
                  </w:r>
                </w:p>
                <w:p>
                  <w:pPr>
                    <w:spacing w:after="40" w:before="0" w:line="260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Möglich: </w:t>
                  </w:r>
                  <w:r>
                    <w:rPr>
                      <w:sz w:val="18"/>
                      <w:szCs w:val="18"/>
                    </w:rPr>
                    <w:t xml:space="preserve">Einzel-, Partner- oder Gruppenarbeit</w:t>
                  </w:r>
                </w:p>
                <w:p>
                  <w:pPr>
                    <w:spacing w:after="0" w:before="0" w:line="260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Empfehlung: </w:t>
                  </w:r>
                  <w:r>
                    <w:rPr>
                      <w:sz w:val="18"/>
                      <w:szCs w:val="18"/>
                    </w:rPr>
                    <w:t xml:space="preserve">Einzelarbeit für das Produkt, danach Partner-Rückmeldung: Die Partnerin hört die Sprachnachricht und schätzt sie auf «Argumentation» und «Position / Werthaltung» ein.</w:t>
                  </w:r>
                </w:p>
              </w:tc>
            </w:tr>
          </w:tbl>
          <w:p/>
        </w:tc>
      </w:tr>
    </w:tbl>
    <w:p>
      <w:pPr>
        <w:pBdr>
          <w:top w:val="single" w:color="D8DBE0" w:sz="4" w:space="3"/>
        </w:pBdr>
        <w:spacing w:after="0" w:before="120"/>
      </w:pPr>
      <w:r>
        <w:rPr>
          <w:b/>
          <w:bCs/>
          <w:sz w:val="19"/>
          <w:szCs w:val="19"/>
        </w:rPr>
        <w:t xml:space="preserve">Ihre Hefte A und B dürfen Sie benutzen.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587" w:right="1134" w:bottom="907" w:left="1134" w:header="454" w:footer="454" w:gutter="0"/>
          <w:pgNumType/>
          <w:docGrid w:linePitch="360"/>
        </w:sectPr>
      </w:pPr>
    </w:p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0E6E3A"/>
          <w:sz w:val="16"/>
          <w:szCs w:val="16"/>
        </w:rPr>
        <w:t xml:space="preserve">A2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Entscheidungsblatt</w:t>
      </w:r>
    </w:p>
    <w:p>
      <w:pPr>
        <w:spacing w:after="100" w:before="0"/>
      </w:pPr>
      <w:r>
        <w:rPr>
          <w:b/>
          <w:bCs/>
          <w:sz w:val="18"/>
          <w:szCs w:val="18"/>
        </w:rPr>
        <w:t xml:space="preserve">Schritt 04: </w:t>
      </w:r>
      <w:r>
        <w:rPr>
          <w:sz w:val="18"/>
          <w:szCs w:val="18"/>
        </w:rPr>
        <w:t xml:space="preserve">Ein Blatt: Bedürfnis-Check · Rechnung der drei Varianten · Entscheid mit Begründung · Schutzregel.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6E3A" w:sz="6"/>
              <w:left w:val="single" w:color="0E6E3A" w:sz="6"/>
              <w:bottom w:val="single" w:color="0E6E3A" w:sz="6"/>
              <w:right w:val="single" w:color="0E6E3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 w:lineRule="auto"/>
            </w:pPr>
            <w:r>
              <w:rPr>
                <w:b/>
                <w:bCs/>
                <w:color w:val="0E6E3A"/>
                <w:sz w:val="14"/>
                <w:szCs w:val="14"/>
              </w:rPr>
              <w:t xml:space="preserve">SCHRITT 04 · ENTSCHEIDUNGSBLATT · SCHRIFTLICH UND BILDLICH</w:t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  <w:p>
            <w:pPr>
              <w:spacing w:line="320" w:lineRule="auto"/>
            </w:pPr>
            <w:r>
              <w:t xml:space="preserve"/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587" w:right="1134" w:bottom="907" w:left="1134" w:header="454" w:footer="454" w:gutter="0"/>
          <w:pgNumType/>
          <w:docGrid w:linePitch="360"/>
        </w:sectPr>
      </w:pPr>
    </w:p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0E6E3A"/>
          <w:sz w:val="16"/>
          <w:szCs w:val="16"/>
        </w:rPr>
        <w:t xml:space="preserve">A3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Sprachnachricht planen</w:t>
      </w:r>
    </w:p>
    <w:p>
      <w:pPr>
        <w:spacing w:after="40" w:before="0"/>
      </w:pPr>
      <w:r>
        <w:rPr>
          <w:b/>
          <w:bCs/>
          <w:sz w:val="18"/>
          <w:szCs w:val="18"/>
        </w:rPr>
        <w:t xml:space="preserve">Schritt 05: </w:t>
      </w:r>
      <w:r>
        <w:rPr>
          <w:sz w:val="18"/>
          <w:szCs w:val="18"/>
        </w:rPr>
        <w:t xml:space="preserve">60–90 Sekunden an die Gruppe: Entscheid, ein Grund, der für Sie zählt, und ein Satz, der zeigt, dass Sie die Gruppe verstehen.</w:t>
      </w:r>
    </w:p>
    <w:p>
      <w:pPr>
        <w:spacing w:after="80" w:before="0" w:line="264" w:lineRule="auto"/>
      </w:pPr>
      <w:r>
        <w:rPr>
          <w:sz w:val="18"/>
          <w:szCs w:val="18"/>
        </w:rPr>
        <w:t xml:space="preserve">Notieren Sie Stichworte, keinen ganzen Text. Sprechen Sie frei und stoppen Sie die Zeit. Ihre Sprachnachricht geben Sie der Lehrperson direkt ab: live oder als Aufnahme.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 w:sz="0"/>
              <w:left w:val="single" w:color="0E6E3A" w:sz="12"/>
              <w:bottom w:val="nil" w:sz="0"/>
              <w:right w:val="nil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1   </w:t>
            </w:r>
            <w:r>
              <w:rPr>
                <w:b/>
                <w:bCs/>
                <w:sz w:val="20"/>
                <w:szCs w:val="20"/>
              </w:rPr>
              <w:t xml:space="preserve">Mein Entscheid</w:t>
            </w:r>
          </w:p>
          <w:p>
            <w:pPr>
              <w:pBdr>
                <w:bottom w:val="single" w:color="BDC3C7" w:sz="4"/>
              </w:pBdr>
              <w:spacing w:after="200" w:before="0" w:line="360" w:lineRule="auto"/>
            </w:pPr>
            <w:r>
              <w:t xml:space="preserve"/>
            </w:r>
          </w:p>
          <w:p>
            <w:pPr>
              <w:pBdr>
                <w:bottom w:val="single" w:color="BDC3C7" w:sz="4"/>
              </w:pBdr>
              <w:spacing w:after="200" w:before="0" w:line="360" w:lineRule="auto"/>
            </w:pPr>
            <w:r>
              <w:t xml:space="preserve"/>
            </w:r>
          </w:p>
          <w:p>
            <w:pPr>
              <w:keepNext/>
              <w:spacing w:after="0" w:before="12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2   </w:t>
            </w:r>
            <w:r>
              <w:rPr>
                <w:b/>
                <w:bCs/>
                <w:sz w:val="20"/>
                <w:szCs w:val="20"/>
              </w:rPr>
              <w:t xml:space="preserve">Ein Grund, der für mich zählt</w:t>
            </w:r>
          </w:p>
          <w:p>
            <w:pPr>
              <w:pBdr>
                <w:bottom w:val="single" w:color="BDC3C7" w:sz="4"/>
              </w:pBdr>
              <w:spacing w:after="200" w:before="0" w:line="360" w:lineRule="auto"/>
            </w:pPr>
            <w:r>
              <w:t xml:space="preserve"/>
            </w:r>
          </w:p>
          <w:p>
            <w:pPr>
              <w:pBdr>
                <w:bottom w:val="single" w:color="BDC3C7" w:sz="4"/>
              </w:pBdr>
              <w:spacing w:after="200" w:before="0" w:line="360" w:lineRule="auto"/>
            </w:pPr>
            <w:r>
              <w:t xml:space="preserve"/>
            </w:r>
          </w:p>
          <w:p>
            <w:pPr>
              <w:keepNext/>
              <w:spacing w:after="0" w:before="12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8"/>
                <w:szCs w:val="18"/>
              </w:rPr>
              <w:t xml:space="preserve">3   </w:t>
            </w:r>
            <w:r>
              <w:rPr>
                <w:b/>
                <w:bCs/>
                <w:sz w:val="20"/>
                <w:szCs w:val="20"/>
              </w:rPr>
              <w:t xml:space="preserve">Ein Satz, der zeigt, dass ich die Gruppe verstehe</w:t>
            </w:r>
          </w:p>
          <w:p>
            <w:pPr>
              <w:pBdr>
                <w:bottom w:val="single" w:color="BDC3C7" w:sz="4"/>
              </w:pBdr>
              <w:spacing w:after="200" w:before="0" w:line="360" w:lineRule="auto"/>
            </w:pPr>
            <w:r>
              <w:t xml:space="preserve"/>
            </w:r>
          </w:p>
          <w:p>
            <w:pPr>
              <w:pBdr>
                <w:bottom w:val="single" w:color="BDC3C7" w:sz="4"/>
              </w:pBdr>
              <w:spacing w:after="200" w:before="0" w:line="360" w:lineRule="auto"/>
            </w:pPr>
            <w:r>
              <w:t xml:space="preserve"/>
            </w:r>
          </w:p>
          <w:p>
            <w:pPr>
              <w:spacing w:after="0" w:before="12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6"/>
                <w:szCs w:val="16"/>
              </w:rPr>
              <w:t xml:space="preserve">ENDE   </w:t>
            </w:r>
            <w:r>
              <w:rPr>
                <w:sz w:val="18"/>
                <w:szCs w:val="18"/>
              </w:rPr>
              <w:t xml:space="preserve">Ziel 60–90 Sekunden · Probelauf:  ☐ zu kurz   ☐ passt   ☐ zu lang</w:t>
            </w:r>
          </w:p>
        </w:tc>
      </w:tr>
    </w:tbl>
    <w:p>
      <w:pPr>
        <w:keepNext/>
        <w:pBdr>
          <w:top w:val="single" w:color="D8DBE0" w:sz="4" w:space="4"/>
        </w:pBdr>
        <w:spacing w:after="60" w:before="200"/>
      </w:pPr>
      <w:r>
        <w:rPr>
          <w:b/>
          <w:bCs/>
          <w:sz w:val="24"/>
          <w:szCs w:val="24"/>
        </w:rPr>
        <w:t xml:space="preserve">Glossar der Einheit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nil" w:sz="0"/>
              <w:left w:val="nil" w:sz="0"/>
              <w:bottom w:val="single" w:color="0E6E3A" w:sz="1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HEFT A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0E6E3A" w:sz="1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HEFT B</w:t>
            </w:r>
          </w:p>
        </w:tc>
      </w:tr>
      <w:tr>
        <w:trPr>
          <w:cantSplit/>
        </w:trPr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Bedürfnis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Gefühl eines Mangels, verbunden mit dem Wunsch, ihn zu beheben.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Nettolohn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Bruttolohn minus Sozialabzüge.</w:t>
            </w:r>
          </w:p>
        </w:tc>
      </w:tr>
      <w:tr>
        <w:trPr>
          <w:cantSplit/>
        </w:trPr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Gut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Mittel, mit dem ein Bedürfnis befriedigt wird.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Fixe / variable Kosten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Gleichbleibende bzw. durch eigenes Verhalten veränderbare Ausgaben.</w:t>
            </w:r>
          </w:p>
        </w:tc>
      </w:tr>
      <w:tr>
        <w:trPr>
          <w:cantSplit/>
        </w:trPr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Existenzbedürfnis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Lebensnotwendiges Bedürfnis, das zuerst gedeckt werden muss.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Rückstellung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Geld, das für spätere, grössere Ausgaben zur Seite gelegt wird (z. B. Zahnarzt, Steuern).</w:t>
            </w:r>
          </w:p>
        </w:tc>
      </w:tr>
      <w:tr>
        <w:trPr>
          <w:cantSplit/>
        </w:trPr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Wahlbedürfnis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Bedürfnis, auf das man verzichten könnte.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Saldo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Differenz zwischen Einnahmen und Ausgaben.</w:t>
            </w:r>
          </w:p>
        </w:tc>
      </w:tr>
      <w:tr>
        <w:trPr>
          <w:cantSplit/>
        </w:trPr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Bedürfnispyramide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Modell von Maslow mit fünf aufeinander aufbauenden Stufen.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Mahnung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Zahlungsaufforderung nach Ablauf der Zahlungsfrist.</w:t>
            </w:r>
          </w:p>
        </w:tc>
      </w:tr>
      <w:tr>
        <w:trPr>
          <w:cantSplit/>
        </w:trPr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Impulskauf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Kauf aus spontanem Wunsch, ohne Planung oder Vergleich.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Schuldenspirale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Dauernd über den eigenen Verhältnissen leben, sodass die Schulden immer weiter wachsen.</w:t>
            </w:r>
          </w:p>
        </w:tc>
      </w:tr>
      <w:tr>
        <w:trPr>
          <w:cantSplit/>
        </w:trPr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Influencer-Marketing</w:t>
            </w:r>
          </w:p>
          <w:p>
            <w:pPr>
              <w:spacing w:after="0" w:before="0" w:line="252" w:lineRule="auto"/>
            </w:pPr>
            <w:r>
              <w:rPr>
                <w:color w:val="4A5057"/>
                <w:sz w:val="18"/>
                <w:szCs w:val="18"/>
              </w:rPr>
              <w:t xml:space="preserve">Werbung, bei der Firmen Personen mit vielen Followern bezahlen oder beschenken.</w:t>
            </w:r>
          </w:p>
        </w:tc>
        <w:tc>
          <w:tcPr>
            <w:tcW w:type="pct" w:w="5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60" w:line="280" w:lineRule="auto"/>
            </w:pPr>
            <w:r>
              <w:t xml:space="preserve"/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587" w:right="1134" w:bottom="907" w:left="1134" w:header="454" w:footer="454" w:gutter="0"/>
          <w:pgNumType/>
          <w:docGrid w:linePitch="360"/>
        </w:sectPr>
      </w:pPr>
    </w:p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0E6E3A"/>
          <w:sz w:val="16"/>
          <w:szCs w:val="16"/>
        </w:rPr>
        <w:t xml:space="preserve">A4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Rückmeldung</w:t>
      </w:r>
    </w:p>
    <w:p>
      <w:pPr>
        <w:spacing w:after="80" w:before="0" w:line="264" w:lineRule="auto"/>
      </w:pPr>
      <w:r>
        <w:rPr>
          <w:sz w:val="18"/>
          <w:szCs w:val="18"/>
        </w:rPr>
        <w:t xml:space="preserve">Kreuzen Sie vor der Abgabe je Kriterium Ihre Stufe an (Spalte «Selbst»). Die Lehrperson gibt Ihnen Rückmeldung auf derselben Skala (Spalte «LP»). Es sind die Kriterien des KN; der Auftrag zählt nicht für die Note.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nil" w:sz="0"/>
              <w:left w:val="nil" w:sz="0"/>
              <w:bottom w:val="single" w:color="0E6E3A" w:sz="1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STUFE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0E6E3A" w:sz="1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KRITERIUM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0E6E3A" w:sz="1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SELBST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0E6E3A" w:sz="1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LP</w:t>
            </w:r>
          </w:p>
        </w:tc>
      </w:tr>
      <w:tr>
        <w:trPr>
          <w:cantSplit/>
        </w:trPr>
        <w:tc>
          <w:tcPr>
            <w:gridSpan w:val="4"/>
            <w:tcBorders>
              <w:top w:val="nil" w:sz="0"/>
              <w:left w:val="nil" w:sz="0"/>
              <w:bottom w:val="single" w:color="1A1D22" w:sz="6"/>
              <w:right w:val="nil" w:sz="0"/>
            </w:tcBorders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Fachkorrektheit</w:t>
            </w: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   SuK</w:t>
            </w:r>
          </w:p>
          <w:p>
            <w:pPr>
              <w:keepNext/>
              <w:spacing w:after="0" w:before="0"/>
            </w:pPr>
            <w:r>
              <w:rPr>
                <w:color w:val="4A5057"/>
                <w:sz w:val="18"/>
                <w:szCs w:val="18"/>
              </w:rPr>
              <w:t xml:space="preserve">Woran ich es sehe: Bedürfnis, Wahlbedürfnis, Rückstellung, Saldo korrekt verwendet.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Begriffe (Bedürfnis, Budget, Leasing/Kredit) fehlen oder werden falsch verwendet.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Begriffe teilweise korrekt verwendet.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Begriffe korrekt und situationsangemessen verwendet.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Begriffe differenziert, kontextualisiert und eigenständig auf die Situation bezogen.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gridSpan w:val="4"/>
            <w:tcBorders>
              <w:top w:val="nil" w:sz="0"/>
              <w:left w:val="nil" w:sz="0"/>
              <w:bottom w:val="single" w:color="1A1D22" w:sz="6"/>
              <w:right w:val="nil" w:sz="0"/>
            </w:tcBorders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Argumentation</w:t>
            </w: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   SuK</w:t>
            </w:r>
          </w:p>
          <w:p>
            <w:pPr>
              <w:keepNext/>
              <w:spacing w:after="0" w:before="0"/>
            </w:pPr>
            <w:r>
              <w:rPr>
                <w:color w:val="4A5057"/>
                <w:sz w:val="18"/>
                <w:szCs w:val="18"/>
              </w:rPr>
              <w:t xml:space="preserve">Woran ich es sehe: Entscheid mit Grund; die Sicht der Gruppe wird ernst genommen.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Keine Begründung für die Entscheidung erkennbar.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Begründung ansatzweise vorhanden.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Begründung nachvollziehbar und strukturiert.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Schlüssig, differenziert, Gegenargumente und Folgen berücksichtigt.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gridSpan w:val="4"/>
            <w:tcBorders>
              <w:top w:val="nil" w:sz="0"/>
              <w:left w:val="nil" w:sz="0"/>
              <w:bottom w:val="single" w:color="1A1D22" w:sz="6"/>
              <w:right w:val="nil" w:sz="0"/>
            </w:tcBorders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Wirtschaftliches Prinzip</w:t>
            </w: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   Ges</w:t>
            </w:r>
          </w:p>
          <w:p>
            <w:pPr>
              <w:keepNext/>
              <w:spacing w:after="0" w:before="0"/>
            </w:pPr>
            <w:r>
              <w:rPr>
                <w:color w:val="4A5057"/>
                <w:sz w:val="18"/>
                <w:szCs w:val="18"/>
              </w:rPr>
              <w:t xml:space="preserve">Woran ich es sehe: Drei Varianten gegen Budget und Rückstellung gerechnet; Folge für den Herbst benannt.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Der Zusammenhang von Budget, Bedürfnis und Verschuldungsrisiko wird nicht angewendet.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Der Zusammenhang wird teilweise erkennbar.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Der Zusammenhang wird korrekt auf die Situation angewendet.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Das Prinzip wird auf neue Zusammenhänge übertragen (Transfer).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gridSpan w:val="4"/>
            <w:tcBorders>
              <w:top w:val="nil" w:sz="0"/>
              <w:left w:val="nil" w:sz="0"/>
              <w:bottom w:val="single" w:color="1A1D22" w:sz="6"/>
              <w:right w:val="nil" w:sz="0"/>
            </w:tcBorders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Position / Werthaltung</w:t>
            </w:r>
            <w:r>
              <w:rPr>
                <w:rFonts w:ascii="Consolas" w:cs="Consolas" w:eastAsia="Consolas" w:hAnsi="Consolas"/>
                <w:b/>
                <w:bCs/>
                <w:color w:val="0E6E3A"/>
                <w:sz w:val="14"/>
                <w:szCs w:val="14"/>
              </w:rPr>
              <w:t xml:space="preserve">   Ges</w:t>
            </w:r>
          </w:p>
          <w:p>
            <w:pPr>
              <w:keepNext/>
              <w:spacing w:after="0" w:before="0"/>
            </w:pPr>
            <w:r>
              <w:rPr>
                <w:color w:val="4A5057"/>
                <w:sz w:val="18"/>
                <w:szCs w:val="18"/>
              </w:rPr>
              <w:t xml:space="preserve">Woran ich es sehe: Entscheid in Ich-Form; Spannung Dazugehören ↔ Sicherheit anerkannt.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Keine erkennbare eigene Position.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Position angedeutet.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Position klar in Ich-Form formuliert.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pct" w:w="7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pct" w:w="73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  <w:szCs w:val="18"/>
              </w:rPr>
              <w:t xml:space="preserve">Position begründet, Spannungsfeld zwischen Wunsch und Sicherheit anerkannt.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pct" w:w="10%"/>
            <w:tcBorders>
              <w:top w:val="nil" w:sz="0"/>
              <w:left w:val="nil" w:sz="0"/>
              <w:bottom w:val="single" w:color="D8DBE0" w:sz="2"/>
              <w:right w:val="nil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spacing w:after="0" w:before="160"/>
      </w:pPr>
      <w:r>
        <w:rPr>
          <w:rFonts w:ascii="Consolas" w:cs="Consolas" w:eastAsia="Consolas" w:hAnsi="Consolas"/>
          <w:b/>
          <w:bCs/>
          <w:color w:val="0E6E3A"/>
          <w:sz w:val="14"/>
          <w:szCs w:val="14"/>
        </w:rPr>
        <w:t xml:space="preserve">BIS ZUM KN VERBESSERE ICH …</w:t>
      </w:r>
    </w:p>
    <w:p>
      <w:pPr>
        <w:pBdr>
          <w:bottom w:val="single" w:color="BDC3C7" w:sz="4"/>
        </w:pBdr>
        <w:spacing w:after="200" w:before="0" w:line="360" w:lineRule="auto"/>
      </w:pPr>
      <w:r>
        <w:t xml:space="preserve"/>
      </w:r>
    </w:p>
    <w:p>
      <w:pPr>
        <w:pBdr>
          <w:bottom w:val="single" w:color="BDC3C7" w:sz="4"/>
        </w:pBdr>
        <w:spacing w:after="200" w:before="0" w:line="360" w:lineRule="auto"/>
      </w:pPr>
      <w:r>
        <w:t xml:space="preserve"/>
      </w:r>
    </w:p>
    <w:p>
      <w:pPr>
        <w:pBdr>
          <w:bottom w:val="single" w:color="BDC3C7" w:sz="4"/>
        </w:pBdr>
        <w:spacing w:after="200" w:before="0" w:line="360" w:lineRule="auto"/>
      </w:pPr>
      <w:r>
        <w:t xml:space="preserve"/>
      </w:r>
    </w:p>
    <w:p>
      <w:pPr>
        <w:keepNext/>
        <w:spacing w:after="0" w:before="120"/>
      </w:pPr>
      <w:r>
        <w:rPr>
          <w:rFonts w:ascii="Consolas" w:cs="Consolas" w:eastAsia="Consolas" w:hAnsi="Consolas"/>
          <w:b/>
          <w:bCs/>
          <w:color w:val="0E6E3A"/>
          <w:sz w:val="14"/>
          <w:szCs w:val="14"/>
        </w:rPr>
        <w:t xml:space="preserve">RÜCKMELDUNG MEINER PARTNERIN / MEINES PARTNERS</w:t>
      </w:r>
    </w:p>
    <w:p>
      <w:pPr>
        <w:pBdr>
          <w:bottom w:val="single" w:color="BDC3C7" w:sz="4"/>
        </w:pBdr>
        <w:spacing w:after="200" w:before="0" w:line="360" w:lineRule="auto"/>
      </w:pPr>
      <w:r>
        <w:t xml:space="preserve"/>
      </w:r>
    </w:p>
    <w:sectPr>
      <w:headerReference w:type="default" r:id="rId13"/>
      <w:footerReference w:type="default" r:id="rId14"/>
      <w:pgSz w:w="11906" w:h="16838" w:orient="portrait"/>
      <w:pgMar w:top="1587" w:right="1134" w:bottom="907" w:left="1134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Auftragsbogen · Alle kommen ans Openair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Auftragsbogen · Alle kommen ans Openair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Auftragsbogen · Alle kommen ans Openair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Auftragsbogen · Alle kommen ans Openair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AUFTRAG · GEMEINSAM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AUFTRAG · GEMEINSAM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AUFTRAG · GEMEINSAM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AUFTRAG · GEMEINSAM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Auftragsbogen · Alle kommen ans Openair</dc:title>
  <dc:creator>HKO Renderer</dc:creator>
  <dc:description>AUFTRAG · GEMEINSAM</dc:description>
  <cp:lastModifiedBy>Un-named</cp:lastModifiedBy>
  <cp:revision>1</cp:revision>
  <dcterms:created xsi:type="dcterms:W3CDTF">2026-10-02T04:25:49.441Z</dcterms:created>
  <dcterms:modified xsi:type="dcterms:W3CDTF">2026-10-02T04:25:49.441Z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